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7B_310/2025 vom 6. Mai 2025</w:t>
      </w:r>
    </w:p>
    <w:p>
      <w:r>
        <w:t>Bundesgericht, 2025-05-06, DE</w:t>
      </w:r>
    </w:p>
    <w:p>
      <w:r>
        <w:rPr>
          <w:b/>
        </w:rPr>
        <w:t xml:space="preserve">Quelle: </w:t>
      </w:r>
      <w:r>
        <w:t>https://mcp.opencaselaw.ch/entscheid/bger_7B_310_2025</w:t>
      </w:r>
    </w:p>
    <w:p>
      <w:r>
        <w:t>FR: TF 7B_310/2025 du 6 mai 2025</w:t>
      </w:r>
    </w:p>
    <w:p>
      <w:r>
        <w:t>IT: TF 7B_310/2025 del 6 maggio 2025</w:t>
      </w:r>
    </w:p>
    <w:p>
      <w:pPr>
        <w:pStyle w:val="Heading2"/>
      </w:pPr>
      <w:r>
        <w:t>Erwägungen</w:t>
      </w:r>
    </w:p>
    <w:p>
      <w:r>
        <w:rPr>
          <w:b/>
        </w:rPr>
        <w:t>E. 1</w:t>
      </w:r>
    </w:p>
    <w:p>
      <w:r>
        <w:t>Der Beschwerdeführer erstattete am 13. November 2024 bei der Staatsanwaltschaft des Kantons Zug Anzeige gegen insgesamt 15 Personen der Schlichtungsbehörde des Kantons Zug, des Kantonsgerichts des Kantons Zug, des Obergerichts des Kantons Zug, des Verwaltungsgerichts des Kantons Zug, der Sicherheitsdirektion des Kantons Zug sowie der Zuger Polizei (nachfolgend: Beschuldigte) wegen Amtsmissbrauchs. Der Beschwerdeführer legt diesen im Wesentlichen zur Last, sie hätten sich im Zusammenhang mit der Kündigung des Mietverhältnisses und der Ausweisung aus der Mietwohnung in U.________ im Jahr 2019 gesetzeswidrig verhalten. Am 11. Dezember 2024 verfügte die Staatsanwaltschaft die Nichtanhandnahme eines Strafverfahrens in dieser Sache. Dagegen erhob der Beschwerdeführer Beschwerde beim Obergericht des Kantons Zug, welches mit Präsidialverfügung vom 10. März 2025 nicht darauf eintrat. Mit Beschwerde in Strafsachen vom 7. April 2025 (Postaufgabe) gelangte der Beschwerdeführer gegen die Verfügung des Obergerichts an das Bundesgericht. Am 10. April 2025 gingen zwei weitere Eingaben des Beschwerdeführers ein, eine vom 8. April 2025, die andere vom 9. April 2025.</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2.3.5; 147 IV 73 E. 4.1.2; je mit Hinweisen).</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w:t>
      </w:r>
    </w:p>
    <w:p>
      <w:r>
        <w:rPr>
          <w:b/>
        </w:rPr>
        <w:t>E. 3</w:t>
      </w:r>
    </w:p>
    <w:p>
      <w:r>
        <w:t>Der Beschwerdeführer äussert sich nicht zu seiner Legitimation als Privatkläger gemäss Art. 81 Abs. 1 lit. b Ziff. 5 BGG, die vorliegend auch nicht gegeben ist. Gemäss § 5 Abs. 1 des Gesetzes über die Verantwortlichkeit der Gemeinwesen, Behördemitglieder und Beamten des Kantons Zug vom 1. Februar 1979, Stand am 1. Januar 2018 (Verantwortlichkeitsgesetz; BSG 154.11 [VG/ZG]), haftet der Staat für den Schaden, den seine Angestellten in ihrer amtlichen Funktion jemandem widerrechtlich zugefügt haben. Dem Geschädigten steht kein Anspruch zu gegen den Beamten, der die Rechtsverletzung begangen hat ( § 6 Abs. 1 VG /ZG). Bei allen Beschuldigten handelt es sich um Mitglieder oder Angestellte von Behörden oder Gerichten des Kantons Zug, denen der Beschwerdeführer Amtsmissbrauch vorwirft, das heisst ein rechtswidriges und strafbares Verhalten in der Amtsausübung. Diese unterliegen der erwähnten Haftungsregelung des Kantons Zug. Damit hat der Beschwerdeführer von vornherein keine Zivilansprüche im Sinne von Art. 81 Abs. 1 lit. b Ziff. 5 BGG gegen die Beschuldigten. Dem Beschwerdeführer kommt keine Sachlegitimation zu.</w:t>
      </w:r>
    </w:p>
    <w:p>
      <w:r>
        <w:rPr>
          <w:b/>
        </w:rPr>
        <w:t>E. 4</w:t>
      </w:r>
    </w:p>
    <w:p>
      <w:r>
        <w:t>Formelle Rügen, zu deren Geltendmachung der Beschwerdeführer unbesehen von der fehlenden Legitimation in der Sache befugt wäre (sog. "Star-Praxis"; vgl. BGE 141 IV 1 E. 1.1), erhebt er nicht.</w:t>
      </w:r>
    </w:p>
    <w:p>
      <w:r>
        <w:rPr>
          <w:b/>
        </w:rPr>
        <w:t>E. 5</w:t>
      </w:r>
    </w:p>
    <w:p>
      <w:r>
        <w:t>Auf die Beschwerde ist im Verfahren nach Art. 108 BGG nicht einzutreten. 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