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7B_310/2023 vom 31. Oktober 2023</w:t>
      </w:r>
    </w:p>
    <w:p>
      <w:r>
        <w:t>Bundesgericht, 2023-10-31, FR</w:t>
      </w:r>
    </w:p>
    <w:p>
      <w:r>
        <w:rPr>
          <w:b/>
        </w:rPr>
        <w:t xml:space="preserve">Quelle: </w:t>
      </w:r>
      <w:r>
        <w:t>https://mcp.opencaselaw.ch/entscheid/bger_7B_310_2023</w:t>
      </w:r>
    </w:p>
    <w:p>
      <w:r>
        <w:t>FR: TF 7B_310/2023 du 31 octobre 2023</w:t>
      </w:r>
    </w:p>
    <w:p>
      <w:r>
        <w:t>IT: TF 7B_310/2023 del 31 ottobre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constaté que la recourante n'avait pas versé les sûretés qu'elle avait été astreinte à fournir dans un délai de vingt jours depuis la réception d'une ordonnance du 15 février 2023 qui lui avait été notifiée le 20 février 2023. Aussi, en application de l' art. 383 al. 2 CPP , elle n'est pas entrée en matière sur le recours.</w:t>
      </w:r>
    </w:p>
    <w:p>
      <w:r>
        <w:rPr>
          <w:b/>
        </w:rPr>
        <w:t>E. 1.3</w:t>
      </w:r>
    </w:p>
    <w:p>
      <w:r>
        <w:t>Face à la motivation cantonale, la recourante se borne pour l'essentiel à soutenir que "les demandes de payer les frais judiciaires aux tribunaux de justice ne sont pas conformes au droit pénal commun" et que "le fonctionnement de la justice est à la charge du Trésor public". Elle échoue ainsi à mettre en évidence, par une motivation conforme aux exigences en la matière, en quoi l'autorité précédente - dont l'arrêt attaqué est fondé sur une base légale claire (soit l' art. 383 CPP ) - aurait violé le droit en déclarant son recours irrecevable.</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