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7B_308/2025 vom 28. Juli 2025</w:t>
      </w:r>
    </w:p>
    <w:p>
      <w:r>
        <w:t>Bundesgericht, 2025-07-28, FR</w:t>
      </w:r>
    </w:p>
    <w:p>
      <w:r>
        <w:rPr>
          <w:b/>
        </w:rPr>
        <w:t xml:space="preserve">Quelle: </w:t>
      </w:r>
      <w:r>
        <w:t>https://mcp.opencaselaw.ch/entscheid/bger_7B_308_2025</w:t>
      </w:r>
    </w:p>
    <w:p>
      <w:r>
        <w:t>FR: TF 7B_308/2025 du 28 juillet 2025</w:t>
      </w:r>
    </w:p>
    <w:p>
      <w:r>
        <w:t>IT: TF 7B_308/2025 del 28 luglio 2025</w:t>
      </w:r>
    </w:p>
    <w:p>
      <w:pPr>
        <w:pStyle w:val="Heading2"/>
      </w:pPr>
      <w:r>
        <w:t>Erwägungen</w:t>
      </w:r>
    </w:p>
    <w:p>
      <w:r>
        <w:rPr>
          <w:b/>
        </w:rPr>
        <w:t>E. 1</w:t>
      </w:r>
    </w:p>
    <w:p>
      <w:r>
        <w:t>L'objet de la contestation qui peut être portée devant le Tribunal fédéral est circonscrit par l'arrêt attaqué ( art. 80 al. 1 LTF ). Dès lors, toute conclusion, toute requête ou tout grief du recourant qui ne se rapportent pas à cette décision sont irrecevables (cf. ATF 142 I 155 consid. 4.4.2; 136 II 457 consid. 4.2; arrêt 7B_1170/2024 du 20 mars 2025 consid. 1.2.3).</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w:t>
      </w:r>
    </w:p>
    <w:p>
      <w:r>
        <w:t>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w:t>
      </w:r>
    </w:p>
    <w:p>
      <w:r>
        <w:rPr>
          <w:b/>
        </w:rPr>
        <w:t>E. 2.2</w:t>
      </w:r>
    </w:p>
    <w:p>
      <w:r>
        <w:t>En l'espèce, le recourant demande "le remboursement de l'ensemble des frais engagés pour corriger" des erreurs prétendument commises (soit "minimum 1000 CHF par rejet abusif"), des "sanctions et mesures correctives pour compenser les préjudices financiers et psychologiques subis", le "versement d'un minimum de 1 CHF en dommages et intérêts par le Tribunal fédéral en reconnaissance du préjudice subi" et "1 million de CHF en dommages et intérêts" pour "l'ensemble de [s]on dossier juridique". Ce faisant, il ne précise toutefois pas quelles prétentions civiles il pourrait faire valoir dans le procès pénal envers les personnes - soit une ou des personnes travaillant auprès de l'Office neuchâtelois de recouvrement et d'avances des contributions d'entretien - contre lesquelles il a déposé plainte pour "abus d'autorité et gestion déloyale", voire contrainte, notamment.</w:t>
      </w:r>
    </w:p>
    <w:p>
      <w:r>
        <w:t>De surcroît, les personnes dont il est question apparaissent être des agents de collectivités publiques et les faits dénoncés par le recourant se rapportent au comportement que ceux-ci auraient adopté dans l'exercice de leurs fonctions. Le recourant ne disposerait dès lors à leur égard, de toute manière, que de prétentions de droit public à faire valoir non pas contre les auteurs présumés, mais contre l'État (cf. art. 61 al. 1 CO ; cf. art. 5 al. 1 et 9 de la loi neuchâteloise du 29 septembre 2020 sur la responsabilité des collectivités publiques et de leurs agents [LResp; RS/NE 150.10]); or celles-ci ne peuvent pas être invoquées dans le procès pénal par voie d'adhésion et ne constituent donc pas des prétentions civiles au sens de l' art. 81 LTF ( ATF 146 IV 76 consid. 3.1; 138 IV 86 consid. 3.1).</w:t>
      </w:r>
    </w:p>
    <w:p>
      <w:r>
        <w:t>Le recourant ne démontre par conséquent pas avoir qualité pour recourir sur le fond en application de l'art. 81 al. 1 let. a et b ch. 5 LTF.</w:t>
      </w:r>
    </w:p>
    <w:p>
      <w:r>
        <w:rPr>
          <w:b/>
        </w:rPr>
        <w:t>E. 3</w:t>
      </w:r>
    </w:p>
    <w:p>
      <w:r>
        <w:t>L'hypothèse visée à l'art. 81 al. 1 let. b ch. 6 LTF n'entre pas en considération, dès lors que le recourant ne soulève aucun grief concernant son droit de porter plainte.</w:t>
      </w:r>
    </w:p>
    <w:p>
      <w:r>
        <w:rPr>
          <w:b/>
        </w:rPr>
        <w:t>E. 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w:t>
      </w:r>
    </w:p>
    <w:p>
      <w:r>
        <w:t>En l'occurrence, le recourant, qui se borne pour l'essentiel à dénoncer un système judiciaire qu'il juge dysfonctionnel et corrompu, invoque pêle-mêle la violation de plusieurs droits fondamentaux (soit notamment de ses droits à un recours effectif, à un procès équitable et à un tribunal impartial). Or, à supposer que de tels griefs puissent être séparés du fond, sa motivation est à cet égard manifestement insuffisante, étant rappelé que le Tribunal fédéral n'entre en matière sur les moyens fondés sur la violation de droits fondamentaux que s'ils ont été invoqués et motivés de manière précise ( art. 106 al. 2 LTF ; ATF 147 IV 73 consid. 4.1.2).</w:t>
      </w:r>
    </w:p>
    <w:p>
      <w:r>
        <w:rPr>
          <w:b/>
        </w:rPr>
        <w:t>E. 5</w:t>
      </w:r>
    </w:p>
    <w:p>
      <w:r>
        <w:t>L'irrecevabilité manifeste du recours doit dès lors être constatée dans la procédure prévue par l' art. 108 al. 1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