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307/2024 vom 30. April 2024</w:t>
      </w:r>
    </w:p>
    <w:p>
      <w:r>
        <w:t>Bundesgericht, 2024-04-30, DE</w:t>
      </w:r>
    </w:p>
    <w:p>
      <w:r>
        <w:rPr>
          <w:b/>
        </w:rPr>
        <w:t xml:space="preserve">Quelle: </w:t>
      </w:r>
      <w:r>
        <w:t>https://mcp.opencaselaw.ch/entscheid/bger_7B_307_2024</w:t>
      </w:r>
    </w:p>
    <w:p>
      <w:r>
        <w:t>FR: TF 7B 307/2024 du 30 avril 2024</w:t>
      </w:r>
    </w:p>
    <w:p>
      <w:r>
        <w:t>IT: TF 7B 307/2024 del 30 aprile 2024</w:t>
      </w:r>
    </w:p>
    <w:p>
      <w:pPr>
        <w:pStyle w:val="Heading2"/>
      </w:pPr>
      <w:r>
        <w:t>Regeste</w:t>
      </w:r>
    </w:p>
    <w:p>
      <w:r>
        <w:t>Einstellung; Nichteintreten | Strafprozess</w:t>
      </w:r>
    </w:p>
    <w:p>
      <w:pPr>
        <w:pStyle w:val="Heading2"/>
      </w:pPr>
      <w:r>
        <w:t>Erwägungen</w:t>
      </w:r>
    </w:p>
    <w:p>
      <w:r>
        <w:rPr>
          <w:b/>
        </w:rPr>
        <w:t>E. 1.1</w:t>
      </w:r>
    </w:p>
    <w:p>
      <w:r>
        <w:t>A.________ (fortan: der Beschwerdeführer) erstattete am 19. September 2021 in eigenem Namen sowie als Geschäftsführer der B.________ GmbH Strafanzeige gegen C.________ (Beschwerdegegner 1) wegen Nötigung, übler Nachrede, Beschimpfung und Drohung. Mit Verfügung vom 24. Februar 2022 nahm die Staatsanwaltschaft II des Kantons Zürich eine Untersuchung gestützt auf Art. 310 Abs. 1 lit. a StPO nicht anhand. Auf Beschwerde u.a. des Beschwerdeführers hin hob das Obergericht des Kantons Zürich am 13. Januar 2023 die angefochtene Nichtanhandnahmeverfügung hinsichtlich der angezeigten Beschimpfung auf und wies die Sache an die Staatsanwaltschaft zurück. Im Übrigen (d.h. hinsichtlich Drohung und Nötigung) wies das Obergericht die Beschwerde ab. Da es sich beim Beschwerdegegner 1, der beim Stadtrichteramt Winterthur arbeitet, um einen Beamten i. S. v. Art. 7 Abs. 2 lit. b StPO bzw. Art. 110 Abs. 3 StGB handelt und sich die behauptete Ehrverletzung im Rahmen der (amtlichen) Berufsausübung ereignet haben soll, wurde der Staatsanwaltschaft zudem die Ermächtigung zur Strafverfolgung des Beschwerdegegners 1 erteilt.</w:t>
      </w:r>
    </w:p>
    <w:p>
      <w:r>
        <w:rPr>
          <w:b/>
        </w:rPr>
        <w:t>E. 1.2</w:t>
      </w:r>
    </w:p>
    <w:p>
      <w:r>
        <w:t>Mit Verfügung vom 10. Mai 2023 stellte die Staatsanwaltschaft das Strafverfahren betreffend Beschimpfung ein. Die Verfahrenskosten wurden auf die Staatskasse genommen; dem Beschwerdegegner 1 wurde eine Entschädigung von Fr. 3'220.60 zugesprochen, eine Genugtuung wurde nicht ausgerichtet. Der Beschwerdeführer erhob mit Eingabe vom 22. Mai bzw. vom 25. Mai 2023 in eigenem Namen sowie als Geschäftsführer der B.________ GmbH Beschwerde gegen die Einstellungsverfügung. Mit Beschluss vom 2. Februar 2024 trat das Obergericht auf die Beschwerde der B.________ GmbH nicht ein; die Beschwerde des Beschwerdeführers wies es ab.</w:t>
      </w:r>
    </w:p>
    <w:p>
      <w:r>
        <w:rPr>
          <w:b/>
        </w:rPr>
        <w:t>E. 2</w:t>
      </w:r>
    </w:p>
    <w:p>
      <w:r>
        <w:t>Der Beschwerdeführer gelangt mit Eingaben vom 29. Februar und 11. März 2024 ans Bundesgericht und beantragt sinngemäss, der Beschluss des Obergerichts und die Einstellungsverfügung der Staatsanwaltschaft seien aufzuheben.</w:t>
      </w:r>
    </w:p>
    <w:p>
      <w:r>
        <w:rPr>
          <w:b/>
        </w:rPr>
        <w:t>E. 3.1</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3.2</w:t>
      </w:r>
    </w:p>
    <w:p>
      <w:r>
        <w:t>Gemäss Art. 42 Abs. 1 BGG hat die Beschwerde an das Bundesgericht ein Begehren und deren Begründung zu enthalten. In der Beschwerdebegründung ist nach Art. 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Der Beschwerdeführer äussert sich mit keinem Wort zu seiner Legitimation als Privatkläger im Sinne von Art. 81 Abs. 1 lit. b Ziff. 5 BGG und zur Frage der Zivilforderung. Seine Legitimation ist ohnehin nicht gegeben, richtet sich die behauptete Ehrverletzung doch gegen einen kantonalen bzw. kommunalen Beamten, womit allfällige Schadenersatz- oder Genugtuungsansprüche des Beschwerdeführers gegen den Beschwerdegegner 1 sich einzig nach dem Haftungsgesetz des Kantons Zürich vom 14. September 1969 (HG/ZH; LS 170.1) beurteilen würden und folglich öffentlich-rechtlicher Natur sind. Folglich kann sich die Strafverfahrenseinstellung auch nicht auf die Beurteilung von Zivilansprüchen im Sinne von Art. 81 Abs. 1 lit. b Ziff. 5 BGG auswirken.</w:t>
      </w:r>
    </w:p>
    <w:p>
      <w:r>
        <w:rPr>
          <w:b/>
        </w:rPr>
        <w:t>E. 4.2</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Soweit der Beschwerdeführer beiläufig eine "Rechtsverzögerung" geltend macht und "die grösstenteils Neubesetzung" der Vorinstanz beanstandet, genügen diese Rügen den qualifizierten Anforderungen an die Begründung nicht. Im Übrigen richtet sich seine Kritik im Ergebnis gegen die Rechtmässigkeit der Einstellung als solche und zielt damit auf eine Überprüfung in der Sache ab, was unzulässig ist.</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das Rechtsbegehren aussichtslos erschien.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