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306/2025 vom 20. Mai 2025</w:t>
      </w:r>
    </w:p>
    <w:p>
      <w:r>
        <w:t>Bundesgericht, 2025-05-20, FR</w:t>
      </w:r>
    </w:p>
    <w:p>
      <w:r>
        <w:rPr>
          <w:b/>
        </w:rPr>
        <w:t xml:space="preserve">Quelle: </w:t>
      </w:r>
      <w:r>
        <w:t>https://mcp.opencaselaw.ch/entscheid/bger_7B_306_2025</w:t>
      </w:r>
    </w:p>
    <w:p>
      <w:r>
        <w:t>FR: TF 7B 306/2025 du 20 mai 2025</w:t>
      </w:r>
    </w:p>
    <w:p>
      <w:r>
        <w:t>IT: TF 7B 306/2025 del 20 maggio 2025</w:t>
      </w:r>
    </w:p>
    <w:p>
      <w:pPr>
        <w:pStyle w:val="Heading2"/>
      </w:pPr>
      <w:r>
        <w:t>Regeste</w:t>
      </w:r>
    </w:p>
    <w:p>
      <w:r>
        <w:t>Ordonnance de non-entrée en matière; irrecevabilité manifeste du recours en matière pénale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 En vertu de l' art. 42 al. 1 LTF , il incombe à la partie recourante d'exposer de manière précise les éléments fondant ses prétentions civiles, notamment en alléguant et en chiffrant dans la mesure du possible le dommage subi (arrêts 7B_305/2025 du 28 avril 2025 consid. 1.2.1; 7B_342/2024 du 13 mai 2024 consid. 1.1).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 Les mêmes exigences sont requises à l'égard de celui qui se plaint d'infractions attentatoires à l'honneur.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parmi d'autres: arrêts 7B_385/2023 du 24 mai 2024 consid. 1.2.2; 7B_41/2022 du 20 mars 2024 consid. 1.2.2; 7B_76/2023 du 24 novembre 2023 consid. 1.2.1; 7B_2/2022 du 24 octobre 2023 consid. 1.2).</w:t>
      </w:r>
    </w:p>
    <w:p>
      <w:r>
        <w:rPr>
          <w:b/>
        </w:rPr>
        <w:t>E. 1.2.2</w:t>
      </w:r>
    </w:p>
    <w:p>
      <w:r>
        <w:t>En l'espèce, le recourant a déposé une plainte pénale contre inconnu, subsidiairement contre B.________, pour diffamation, voire calomnie. Or contrairement aux réquisits jurisprudentiels en la matière, il ne discute aucunement des conditions de recevabilité de son recours, respectivement ne dit pas un mot, dans son écriture, au sujet d'éventuelles prétentions civiles qui pourraient résulter directement desdites infractions. Il ne démontre dès lors pas avoir la qualité pour recourir sur le fond en application de l'art. 81 al. 1 let. a et b ch. 5 LTF.</w:t>
      </w:r>
    </w:p>
    <w:p>
      <w:r>
        <w:rPr>
          <w:b/>
        </w:rPr>
        <w:t>E. 1.3</w:t>
      </w:r>
    </w:p>
    <w:p>
      <w:r>
        <w:t>S'agissant de l'hypothèse visée à l'art. 81 al. 1 let. b ch. 6 LTF, elle n'entre pas en considération, le recourant ne soulevant aucun grief recevable quant à son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 En substance, le recourant fait valoir qu'un "simple acte peu coûteux suffirait à pouvoir orienter les soupçons sur un auteur, à savoir une unique demande d'entraide internationale auprès d'un interlocuteur défini (et déjà contacté, soit C.________) ". Il ajoute que le Ministère public ne pouvait pas rendre une ordonnance de non-entrée en matière sans, à tout le moins, envoyer la demande d'entraide internationale à l'Irlande et pouvoir ainsi identifier l'auteur de ce commentaire. Il soutient en outre que l'acte à accomplir ne serait pas disproportionné. Force est toutefois de constater que le recourant s'en prend en réalité à la motivation par laquelle l'autorité précédente a notamment considéré, à la suite du Ministère public, que les investigations menées n'avaient pas permis de découvrir l'identité de l'auteur du commentaire litigieux, potentiellement attentatoire à l'honneur du recourant, et qu'elle ne voyait pas quel acte d'instruction, en Suisse, rendrait possible l'identification de l'intéressé; elle a ajouté qu'à supposer qu'une commission rogatoire aux autorités irlandaises aboutisse, les informations recueillies ne permettraient probablement pas d'identifier B.________, qui n'avait certainement pas fourni les données réelles le concernant lors de la création du compte C.________ en cause, précisant encore que la société irlandaise éponyme ne vérifiait pas ni n'exigeait de justificatifs permettant de contrôler la réalité des renseignements communiqués au moment de l'ouverture d'un tel compte. Ces circonstances constituent un empêchement de procéder au sens de l' art. 310 al. 1 let. b CPP devant conduire à une non-entrée en matière (cf. arrêt 6B_638/2021 du 17 août 2022 consid. 2.1.2 et les arrêts cités) et les griefs développés dans ce contexte par le recourant ne sont manifestement pas distincts du fond de la cause, dans la mesure où il s'attache essentiellement à se plaindre d'un défaut d'instruction. Partant, le recourant ne dispose pas non plus de la qualité pour recourir sous cet angle.</w:t>
      </w:r>
    </w:p>
    <w:p>
      <w:r>
        <w:rPr>
          <w:b/>
        </w:rPr>
        <w:t>E. 2</w:t>
      </w:r>
    </w:p>
    <w:p>
      <w:r>
        <w:t>Le recours doit par conséquent être déclaré irrecevable selon la procédure simplifiée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