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7B_305/2025 vom 28. April 2025</w:t>
      </w:r>
    </w:p>
    <w:p>
      <w:r>
        <w:t>Bundesgericht, 2025-04-28, FR</w:t>
      </w:r>
    </w:p>
    <w:p>
      <w:r>
        <w:rPr>
          <w:b/>
        </w:rPr>
        <w:t xml:space="preserve">Quelle: </w:t>
      </w:r>
      <w:r>
        <w:t>https://mcp.opencaselaw.ch/entscheid/bger_7B_305_2025</w:t>
      </w:r>
    </w:p>
    <w:p>
      <w:r>
        <w:t>FR: TF 7B_305/2025 du 28 avril 2025</w:t>
      </w:r>
    </w:p>
    <w:p>
      <w:r>
        <w:t>IT: TF 7B_305/2025 del 28 aprile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vertu de l' art. 42 al. 1 LTF , il incombe à la partie recourante d'exposer de manière précise les éléments fondant ses prétentions civiles, notamment en alléguant et en chiffrant dans la mesure du possible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7B_76/2025 du 26 février 2025 consid. 1.1; 7B_745/2024 du 4 septembre 2024 consid. 2.1).</w:t>
      </w:r>
    </w:p>
    <w:p>
      <w:r>
        <w:rPr>
          <w:b/>
        </w:rPr>
        <w:t>E. 1.2.2</w:t>
      </w:r>
    </w:p>
    <w:p>
      <w:r>
        <w:t>En l'espèce, le recourant ne s'exprime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l'État n'entrant pas dans cette catégorie (cf. ATF 146 IV 76 consid. 3; arrêt 7B_506/2024 du 8 juillet 2024 consid. 1.2). L'absence d'explications sur la question des prétentions civiles exclut sa qualité pour recourir sur le fond de la cause.</w:t>
      </w:r>
    </w:p>
    <w:p>
      <w:r>
        <w:rPr>
          <w:b/>
        </w:rPr>
        <w:t>E. 1.3</w:t>
      </w:r>
    </w:p>
    <w:p>
      <w:r>
        <w:t>S'agissant de l'hypothèse visée à l'art. 81 al. 1 let. b ch. 6 LTF, elle n'entre pas en considération, le recourant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le recourant ne présentant pas - du moins pas de manière compréhensible, respectivement conforme aux exigences de motivation posées aux art. 42 al. 2 LTF (cf. ATF 148 IV 205 consid. 2.6) et 106 al. 2 LTF (cf. ATF 146 I 62 consid. 3) - de grief susceptible d'être examiné à ce titre.</w:t>
      </w:r>
    </w:p>
    <w:p>
      <w:r>
        <w:rPr>
          <w:b/>
        </w:rPr>
        <w:t>E. 2</w:t>
      </w:r>
    </w:p>
    <w:p>
      <w:r>
        <w:t>Ne répondant ainsi manifestement pas aux exigences de recevabilité d'un recours en matière pénale au Tribunal fédéral, le recours doit être déclaré irrecevable selon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w:t>
      </w:r>
    </w:p>
    <w:p>
      <w:r>
        <w:t>e phrase LTF; arrêt 7B_177/2025 du 21 mars 2025 consid. 3).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