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7B_303/2025 vom 28. Mai 2025</w:t>
      </w:r>
    </w:p>
    <w:p>
      <w:r>
        <w:t>Bundesgericht, 2025-05-28, FR</w:t>
      </w:r>
    </w:p>
    <w:p>
      <w:r>
        <w:rPr>
          <w:b/>
        </w:rPr>
        <w:t xml:space="preserve">Quelle: </w:t>
      </w:r>
      <w:r>
        <w:t>https://mcp.opencaselaw.ch/entscheid/bger_7B_303_2025</w:t>
      </w:r>
    </w:p>
    <w:p>
      <w:r>
        <w:t>FR: TF 7B_303/2025 du 28 mai 2025</w:t>
      </w:r>
    </w:p>
    <w:p>
      <w:r>
        <w:t>IT: TF 7B_303/2025 del 28 maggio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est dirigé contre une décision d'irrecevabilité prise en dernière instance cantonale ( art. 80 al. 1 LTF ) dans le cadre d'une procédure pénale. Le recours en matière pénale, au sens de l' art. 78 al. 1 LTF , est donc ouvert. Le recours a en outre été déposé en temps utile ( art. 46 al. 1 let . c et 100 al. 1 LTF).</w:t>
      </w:r>
    </w:p>
    <w:p>
      <w:r>
        <w:rPr>
          <w:b/>
        </w:rPr>
        <w:t>E. 1.2</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146 IV 76 consid. 2 et l'arrêt cité; arrêt 7B_587/2023 du 11 septembre 2024 consid. 1.2.1 et les arrêts cités). En l'espèce, l'autorité précédente a déclaré irrecevable le recours formé par le recourant contre l'ordonnance de non-entrée en matière faute pour celui-ci d'avoir fourni les sûretés dans le délai imparti, en application de l' art. 383 al. 2 CPP . Dans la mesure où le recourant conteste l'application de cette dernière disposition par l'autorité précédente, il y a lieu d'entrer en matière.</w:t>
      </w:r>
    </w:p>
    <w:p>
      <w:r>
        <w:rPr>
          <w:b/>
        </w:rPr>
        <w:t>E. 1.3</w:t>
      </w:r>
    </w:p>
    <w:p>
      <w:r>
        <w:t>Cela étant, seule la question de la recevabilité du recours cantonal peut être portée devant le Tribunal fédéral qui n'a, à ce stade, pas à examiner le fond de la contestation (arrêts 7B_134/2024 du 11 octobre 2024 consid. 1.3.2; 7B_587/2023 du 11 septembre 2024 consid. 1.2.1 et l'arrêt cité). Les arguments de fond du recourant sont donc irrecevables. Il en va ainsi en particulier de ses développements en lien avec la pièce "106" qui, produite à l'appui de son recours, apparaît au demeurant être postérieure à l'arrêt attaqué et partant irrecevable ( art. 99 al. 1 LTF ; cf. ATF 148 V 174 consid. 2.2).</w:t>
      </w:r>
    </w:p>
    <w:p>
      <w:r>
        <w:rPr>
          <w:b/>
        </w:rPr>
        <w:t>E. 2.1</w:t>
      </w:r>
    </w:p>
    <w:p>
      <w:r>
        <w:t>On comprend de la motivation du recourant qu'il reproche au juge cantonal d'avoir violé l' art. 85 al. 4 let. a CPP en lien avec une fiction de notification, ainsi que l' art. 383 al. 2 CPP sur lequel ce dernier s'est fondé pour déclarer son recours irrecevable.</w:t>
      </w:r>
    </w:p>
    <w:p>
      <w:r>
        <w:rPr>
          <w:b/>
        </w:rPr>
        <w:t>E. 2.2.1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2.2.2</w:t>
      </w:r>
    </w:p>
    <w:p>
      <w:r>
        <w:t>Selon l' art. 383 CPP , la direction de la procédure de l'autorité de recours peut astreindre la partie plaignante à fournir des sûretés dans un délai déterminé pour couvrir les frais et indemnités éventuels (al. 1, 1re phrase); si les sûretés ne sont pas fournies dans le délai imparti, l'autorité de recours n'entre pas en matière sur le recours (al. 2).</w:t>
      </w:r>
    </w:p>
    <w:p>
      <w:r>
        <w:t>Aux termes de l' art. 85 al. 4 let. a CPP , un prononcé est également réputé notifié lorsque, expédié par lettre signature, il n'a pas été retiré dans les sept jours à compter de la tentative infructueuse de remise du pli, si la personne concernée devait s'attendre à une telle remise.</w:t>
      </w:r>
    </w:p>
    <w:p>
      <w:r>
        <w:rPr>
          <w:b/>
        </w:rPr>
        <w:t>E. 2.2.3</w:t>
      </w:r>
    </w:p>
    <w:p>
      <w:r>
        <w:t>Selon la jurisprudence, la personne concernée doit s'attendre à la remise d'un prononcé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arrêt 6B_217/2025 du 29 avril 2025 consid. 2.1.1).</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 citées).</w:t>
      </w:r>
    </w:p>
    <w:p>
      <w:r>
        <w:rPr>
          <w:b/>
        </w:rPr>
        <w:t>E. 2.3</w:t>
      </w:r>
    </w:p>
    <w:p>
      <w:r>
        <w:t>Face à la motivation cantonale, le recourant soutient en substance que le dépôt de son recours auprès de l'autorité précédente n'aurait pas entraîné automatiquement l'ouverture d'une procédure judiciaire, dans le cadre de laquelle il devait s'attendre à recevoir des communications. Il ne pourrait ainsi pas lui être reproché de ne pas avoir pris les dispositions nécessaires au suivi de son courrier, dans la mesure où il n'aurait pas été formellement informé de l'ouverture d'une procédure judiciaire ensuite du dépôt de son recours.</w:t>
      </w:r>
    </w:p>
    <w:p>
      <w:r>
        <w:rPr>
          <w:b/>
        </w:rPr>
        <w:t>E. 2.4</w:t>
      </w:r>
    </w:p>
    <w:p>
      <w:r>
        <w:t>Son raisonnement ne peut toutefois pas être suivi.</w:t>
      </w:r>
    </w:p>
    <w:p>
      <w:r>
        <w:rPr>
          <w:b/>
        </w:rPr>
        <w:t>E. 2.4.1</w:t>
      </w:r>
    </w:p>
    <w:p>
      <w:r>
        <w:t>La procédure de recours, qui est écrite (cf. art. 397 al. 1 CPP ), débute avec le dépôt d'un mémoire (cf. art. 390 al. 1 CPP ; BERNHARD STRÄULI, in Commentaire romand, Code de procédure pénale, 2e éd. 2019, no 1 ad art. 397 CPP ). Par le dépôt de son acte du 29 janvier 2025, le recourant a ainsi initié la procédure de recours. Quoi qu'il en dise, il devait depuis lors s'attendre à recevoir notification d'actes judiciaires - soit en particulier d'une invitation à fournir des sûretés (cf. art. 383 CPP ) - et était notamment tenu d'assurer le suivi de son courrier (cf. arrêt 6B_232/2022 du 16 décembre 2022 consid. 2.5; cf. également en lien avec la procédure d'appel: arrêts 6B_201/2024 du 23 avril 2024 consid. 4.1; 6B_826/2023 du 26 octobre 2023 consid. 4.1).</w:t>
      </w:r>
    </w:p>
    <w:p>
      <w:r>
        <w:rPr>
          <w:b/>
        </w:rPr>
        <w:t>E. 2.4.2</w:t>
      </w:r>
    </w:p>
    <w:p>
      <w:r>
        <w:t>Les développements du recourant sont pour le surplus impropres à mettre en évidence que l'autorité précédente aurait violé le droit fédéral en considérant que les conditions d'une fiction de notification étaient en l'occurrence réalisées et que, faute d'avoir fourni les sûretés dans le délai imparti, son recours cantonal devait être déclaré irrecevable (cf. consid. 2.2.1</w:t>
      </w:r>
    </w:p>
    <w:p>
      <w:r>
        <w:t>supra ). La motivation cantonale (cf. arrêt attaqué, consid. 1.3 et 2.4 p. 2 à 4) ne prête à cet égard pas le flanc à la critique.</w:t>
      </w:r>
    </w:p>
    <w:p>
      <w:r>
        <w:rPr>
          <w:b/>
        </w:rPr>
        <w:t>E. 2.4.3</w:t>
      </w:r>
    </w:p>
    <w:p>
      <w:r>
        <w:t>Au reste, les allégations du recourant, selon lesquelles des circonstances particulières l'auraient empêché de prendre "toutes les décisions appropriées qui auraient dû être prises en matière de courrier", relèvent d'une demande de restitution de délai au sens de l' art. 94 al. 1 CPP qui doit être adressée à l'autorité auprès de laquelle l'acte de procédure aurait dû être accompli (cf. art. 94 al. 2 CPP ). Une telle demande ne saurait être présentée pour la première fois devant le Tribunal fédéral, faute d'épuisement des instances cantonales (cf. art. 80 al. 1 LTF ), de sorte qu'elle est irrecevable.</w:t>
      </w:r>
    </w:p>
    <w:p>
      <w:r>
        <w:rPr>
          <w:b/>
        </w:rPr>
        <w:t>E. 2.5</w:t>
      </w:r>
    </w:p>
    <w:p>
      <w:r>
        <w:t>Le recours doit par conséquent être rejeté dans la mesure où il est recevable et l'écriture du recourant du 2 avril 2025 transmise à l'autorité précédente en tant qu'elle contient une demande de restitution de délai, comme objet de sa compétence (cf. art. 30 al. 2 LTF ).</w:t>
      </w:r>
    </w:p>
    <w:p>
      <w:r>
        <w:rPr>
          <w:b/>
        </w:rPr>
        <w:t>E. 3</w:t>
      </w:r>
    </w:p>
    <w:p>
      <w:r>
        <w:t>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