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7B_300/2025 vom 12. August 2024</w:t>
      </w:r>
    </w:p>
    <w:p>
      <w:r>
        <w:t>Bundesgericht, 2024-08-12, DE</w:t>
      </w:r>
    </w:p>
    <w:p>
      <w:r>
        <w:rPr>
          <w:b/>
        </w:rPr>
        <w:t xml:space="preserve">Quelle: </w:t>
      </w:r>
      <w:r>
        <w:t>https://mcp.opencaselaw.ch/entscheid/bger_7B_300_2025</w:t>
      </w:r>
    </w:p>
    <w:p>
      <w:r>
        <w:t>FR: TF 7B_300/2025 du 12 août 2024</w:t>
      </w:r>
    </w:p>
    <w:p>
      <w:r>
        <w:t>IT: TF 7B_300/2025 del 12 agosto 2024</w:t>
      </w:r>
    </w:p>
    <w:p>
      <w:pPr>
        <w:pStyle w:val="Heading2"/>
      </w:pPr>
      <w:r>
        <w:t>Erwägungen</w:t>
      </w:r>
    </w:p>
    <w:p>
      <w:r>
        <w:rPr>
          <w:b/>
        </w:rPr>
        <w:t>E. 1</w:t>
      </w:r>
    </w:p>
    <w:p>
      <w:r>
        <w:t>Mit Strafbefehl vom 1. Juli 2024 sprach das Untersuchungsamt St. Gallen A.________ der fahrlässigen Verursachung einer Feuersbrunst schuldig und auferlegte ihm eine Geldstrafe von 60 Tagessätzen zu je Fr. 40.--, bedingt aufgeschoben mit einer Probezeit von zwei Jahren. Zudem wurden A.________ die Verfahrenskosten von Fr. 1'950.-- auferlegt. In der Folge ersuchte A.________ das Untersuchungsamt um Erlass der ihm auferlegten Verfahrenskosten. Dieses Gesuch wurde mit Verfügung vom 12. August 2024 abgewiesen. Den von A.________ dagegen erhobenen Rekurs wies das Sicherheits- und Justizdepartement des Kantons St. Gallen mit Entscheid vom 5. November 2024 ab. Mit Entscheid vom 31. März 2025 wies die Anklagekammer des Kantons St. Gallen die dagegen erhobene Beschwerde ebenfalls ab.</w:t>
      </w:r>
    </w:p>
    <w:p>
      <w:r>
        <w:rPr>
          <w:b/>
        </w:rPr>
        <w:t>E. 2</w:t>
      </w:r>
    </w:p>
    <w:p>
      <w:r>
        <w:t>Mit Schreiben vom 3. April 2025 leitete die Anklagekammer des Kantons St. Gallen eine Rechtsschrift von A.________ vom 1. April 2025 weiter, in welcher dieser die "Annullierung" des Entscheids der Anklagekammer vom 31. März 2025 beantragt. Gestützt auf diese Eingabe von A.________ eröffnete das Bundesgericht das vorliegende Beschwerdeverfahren.</w:t>
      </w:r>
    </w:p>
    <w:p>
      <w:r>
        <w:t>Es wurden keine Vernehmlassungen eingeholt.</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Die Vorinstanz legt in Auseinandersetzung mit der bundesgerichtlichen Rechtsprechung und unter Berücksichtigung der wirtschaftlichen und gesundheitlichen Situation des Beschwerdeführers detailliert dar, weshalb in seinem Fall die gesetzlichen Voraussetzungen für einen vollständigen Erlass der ihm mit Strafbefehl vom 1. Juli 2024 auferlegten Verfahrenskosten gemäss Art. 425 StPO nicht erfüllt seien (vgl. angefochtener Entscheid E. 3c). Mit den entsprechenden Erwägungen setzt sich der Beschwerdeführer nicht ansatzweise auseinander. Stattdessen wirft er der Vorinstanz ohne substanziierte Begründung Willkür ( Art. 9 BV ) vor und macht pauschal geltend, seine gesundheitliche und wirtschaftliche Situation sei im angefochtenen Entscheid nicht berücksichtigt worden ( Art. 29 Abs. 2 BV ), obwohl sich die Vorinstanz damit ausdrücklich auseinandergesetzt hat. Solche appellatorische Kritik genügt den dargelegten Begründungsanforderungen offensichtlich nicht, weshalb auf die Beschwerde im vereinfachten Verfahren nach Art. 108 Abs. 1 lit. b BGG nicht einzutreten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