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2/2024 vom 2. April 2024</w:t>
      </w:r>
    </w:p>
    <w:p>
      <w:r>
        <w:t>Bundesgericht, 2024-04-02, DE</w:t>
      </w:r>
    </w:p>
    <w:p>
      <w:r>
        <w:rPr>
          <w:b/>
        </w:rPr>
        <w:t xml:space="preserve">Quelle: </w:t>
      </w:r>
      <w:r>
        <w:t>https://mcp.opencaselaw.ch/entscheid/bger_7B_2_2024</w:t>
      </w:r>
    </w:p>
    <w:p>
      <w:r>
        <w:t>FR: TF 7B 2/2024 du 2 avril 2024</w:t>
      </w:r>
    </w:p>
    <w:p>
      <w:r>
        <w:t>IT: TF 7B 2/2024 del 2 aprile 2024</w:t>
      </w:r>
    </w:p>
    <w:p>
      <w:pPr>
        <w:pStyle w:val="Heading2"/>
      </w:pPr>
      <w:r>
        <w:t>Regeste</w:t>
      </w:r>
    </w:p>
    <w:p>
      <w:r>
        <w:t>Editionsverfügung/Beweisanträge; Nichteintreten | Strafprozess</w:t>
      </w:r>
    </w:p>
    <w:p>
      <w:pPr>
        <w:pStyle w:val="Heading2"/>
      </w:pPr>
      <w:r>
        <w:t>Erwägungen</w:t>
      </w:r>
    </w:p>
    <w:p>
      <w:r>
        <w:rPr>
          <w:b/>
        </w:rPr>
        <w:t>E. 1</w:t>
      </w:r>
    </w:p>
    <w:p>
      <w:r>
        <w:t>Die Einzelrichterin des Bezirksgerichts Einsiedeln forderte im Verfahren gegen A.________ wegen Überschreitens der zulässigen Parkzeit die Kantonspolizei am 13. November 2023 mittels Editionsverfügung auf, den Zustellungsnachweis einer Zahlungsaufforderung einzureichen. Zudem wies sie die von A.________ gestellten Beweisanträge ab und hielt fest, die auf den 23. November 2023 angesetzte Gerichtsverhandlung finde statt. Gegen diese Verfügung erhob A.________ am 21. November 2023 Beschwerde beim Kantonsgericht Schwyz, welches mit Verfügung vom 22. November 2023 nicht auf die Beschwerde eintrat. Mit Eingabe vom 27. Dezember 2023 führt A.________ Beschwerde in Strafsachen an das Bundesgericht und beantragt die Aufhebung der Verfügung des Kantonsgerichts vom 22. November 2023.</w:t>
      </w:r>
    </w:p>
    <w:p>
      <w:r>
        <w:rPr>
          <w:b/>
        </w:rPr>
        <w:t>E. 2.1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2.2</w:t>
      </w:r>
    </w:p>
    <w:p>
      <w:r>
        <w:t>Der Beschwerdeführer setzt sich in seiner Beschwerde mit den vorinstanzlichen Ausführungen, namentlich der Begründung, weshalb auf die Beschwerde mangels eines nicht wiedergutzumachenden Nachteils nicht eingetreten werden könne, nicht auseinander. Stattdessen behauptet er einzig, die Einzelrichterin sei nicht befugt gewesen, den Zustellnachweis zu verlangen und es liege eine persönliche Voreingenommenheit der Einzelrichterin vor. Damit vermag er jedoch den Begründungsanforderungen nicht zu genügen (vgl. E. 2.1 hiervor), weshalb auf die Beschwerde nicht einzutreten ist. Eine allfällige Voreingenommenheit bzw. ein möglicher Ausstandsgrund bildet sodann vorliegend ohnehin nicht Streitgegenstand, darauf kann ebenfalls nicht eingetreten werden.</w:t>
      </w:r>
    </w:p>
    <w:p>
      <w:r>
        <w:rPr>
          <w:b/>
        </w:rPr>
        <w:t>E. 3</w:t>
      </w:r>
    </w:p>
    <w:p>
      <w:r>
        <w:t>Nach dem Gesagten ist auf die Beschwerde im vereinfachten Verfahren gemäss Art. 108 Abs. 1 BGG nicht einzutreten. Bei diesem Verfahrensausgang sind die Gerichtskosten dem Beschwerdeführer aufzuerlegen ( Art. 66 Abs. 1 BGG ). Sein Gesuch um unentgeltliche Rechtspflege ist wegen Aussichtslosigkeit abzuweisen ( Art. 64 Abs. 1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