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7B_298/2026 vom 20. April 2026</w:t>
      </w:r>
    </w:p>
    <w:p>
      <w:r>
        <w:t>Bundesgericht, 2026-04-20, DE</w:t>
      </w:r>
    </w:p>
    <w:p>
      <w:r>
        <w:rPr>
          <w:b/>
        </w:rPr>
        <w:t xml:space="preserve">Quelle: </w:t>
      </w:r>
      <w:r>
        <w:t>https://mcp.opencaselaw.ch/entscheid/bger_7B_298_2026</w:t>
      </w:r>
    </w:p>
    <w:p>
      <w:r>
        <w:t>FR: TF 7B_298/2026 du 20 avril 2026</w:t>
      </w:r>
    </w:p>
    <w:p>
      <w:r>
        <w:t>IT: TF 7B_298/2026 del 20 aprile 2026</w:t>
      </w:r>
    </w:p>
    <w:p>
      <w:pPr>
        <w:pStyle w:val="Heading2"/>
      </w:pPr>
      <w:r>
        <w:t>Erwägungen</w:t>
      </w:r>
    </w:p>
    <w:p>
      <w:r>
        <w:rPr>
          <w:b/>
        </w:rPr>
        <w:t>E. 1</w:t>
      </w:r>
    </w:p>
    <w:p>
      <w:r>
        <w:t>Mit Beschluss vom 5. Februar 2026 wies das Obergericht des Kantons Bern die Beschwerde des Beschwerdeführers gegen die Nichtanhandnahmeverfügung der Kantonalen Staatsanwaltschaft für Besondere Aufgaben vom 9. April 2025 ab, soweit es darauf eintrat. Der Beschwerdeführer gelangte dagegen mit Beschwerde in Strafsachen vom 7. März 2026 (Postaufgabe) an das Bundesgericht.</w:t>
      </w:r>
    </w:p>
    <w:p>
      <w:r>
        <w:rPr>
          <w:b/>
        </w:rPr>
        <w:t>E. 2</w:t>
      </w:r>
    </w:p>
    <w:p>
      <w:r>
        <w:t>Diese Eingabe ist mangels eines Zivilanspruchs, der dem Beschwerdeführer zustehen und der ihn zur Beschwerde in Strafsachen berechtigen könnte (Art. 81 Abs. 1 lit. b Ziff. 5 BGG; BGE 146 IV 76 E. 3.1; 133 IV 228 E. 2.3.3 ; 131 I 455 E. 1.2.4; je mit Hinweisen; Art. 100 Abs. 1 und Art. 102 Abs. 1 des Personalgesetzes des Kantons Bern vom 16. September 2004 [BSG/BE 153.01]), offensichtlich unzulässig. Auf die Beschwerde ist somit im vereinfachten Verfahren nicht einzutreten ( Art. 108 Abs. 1 lit. a BGG ). Die Begründung des Entscheids beschränkt sich auf eine kurze Angabe des Unzulässigkeitsgrundes ( Art. 108 Abs. 3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