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7B_292/2023 vom 31. August 2023</w:t>
      </w:r>
    </w:p>
    <w:p>
      <w:r>
        <w:t>Bundesgericht, 2023-08-31, DE</w:t>
      </w:r>
    </w:p>
    <w:p>
      <w:r>
        <w:rPr>
          <w:b/>
        </w:rPr>
        <w:t xml:space="preserve">Quelle: </w:t>
      </w:r>
      <w:r>
        <w:t>https://mcp.opencaselaw.ch/entscheid/bger_7B_292_2023</w:t>
      </w:r>
    </w:p>
    <w:p>
      <w:r>
        <w:t>FR: TF 7B_292/2023 du 31 août 2023</w:t>
      </w:r>
    </w:p>
    <w:p>
      <w:r>
        <w:t>IT: TF 7B_292/2023 del 31 agosto 2023</w:t>
      </w:r>
    </w:p>
    <w:p>
      <w:pPr>
        <w:pStyle w:val="Heading2"/>
      </w:pPr>
      <w:r>
        <w:t>Erwägungen</w:t>
      </w:r>
    </w:p>
    <w:p>
      <w:r>
        <w:rPr>
          <w:b/>
        </w:rPr>
        <w:t>E. 1</w:t>
      </w:r>
    </w:p>
    <w:p>
      <w:r>
        <w:t>Angefochten ist ein nach Art. 248 Abs. 3 lit. a StPO kantonal letztinstanzlicher Entscheid eines Zwangsmassnahmengerichts. Dagegen steht gemäss Art. 80 Abs. 2 Satz 3 BGG die Beschwerde in Strafsachen an das Bundesgericht nach Art. 78 bis Art. 81 BGG grundsätzlich offen. Der Beschwerdeführer ist als beschuldigte Person zur Beschwerde legitimiert (Art. 81 Abs. 1 lit. a und b Ziff. 1 BGG).</w:t>
      </w:r>
    </w:p>
    <w:p>
      <w:r>
        <w:rPr>
          <w:b/>
        </w:rPr>
        <w:t>E. 2.1</w:t>
      </w:r>
    </w:p>
    <w:p>
      <w:r>
        <w:t>Der angefochtene Entsiegelungsentscheid schliesst die gegen den Beschwerdeführer geführte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(Urteile 7B_58/2023 vom 10. Juli 2023 E. 2.1; 1B_155/2023 vom 10. Mai 2023 E. 1.2; 1B_591/2022 vom 21. Dezember 2022 E. 4.1; 1B_40/2022 vom 1. Dezember 2022 E. 2.1; teilweise mit weiteren Hinweisen). Der bloss pauschale Hinweis auf private Korrespondenz oder Fotos begründet keine schutzwürdigen Geheimnisinteressen im Sinne von Art. 248 Abs. 1 StPO (Urteile 7B_58/2023 vom 10. Juli 2023 E. 2.3; 1B_40/2022 vom 1. Dezember 2022 E. 2.2; 1B_541/2021 vom 22. März 2022 E. 2.3; je mit Hinweisen).</w:t>
      </w:r>
    </w:p>
    <w:p>
      <w:r>
        <w:rPr>
          <w:b/>
        </w:rPr>
        <w:t>E. 2.2</w:t>
      </w:r>
    </w:p>
    <w:p>
      <w:r>
        <w:t>Der Beschwerdeführer geht mit keinem Wort auf die Eintretensvoraussetzung von Art. 93 Abs. 1 lit. a BGG ein und es ist auch nicht erkennbar, dass diese erfüllt wäre:</w:t>
      </w:r>
    </w:p>
    <w:p>
      <w:r>
        <w:t>Die Vorinstanz stellt fest, der Beschwerdeführer habe sich im kantonalen Verfahren in pauschaler Art und Weise auf seine Privat- und Intimsphäre berufen ("Kommunikation", "Fotos von ihm, seinem Sohn, seiner Ehefrau, seinem Vater sowie weiteren Frauen"), ohne konkret anzugeben, welche einzelnen Fotos oder Gespräche schützenswerte Privatgeheimnisse darstellen sollten, welche dem öffentlichen Interesse an der Aufklärung der in Frage stehenden Straftat vorgingen oder nicht untersuchungsrelevant seien. Diesbezüglich sei er seiner Substanziierungspflicht nicht nachgekommen.</w:t>
      </w:r>
    </w:p>
    <w:p>
      <w:r>
        <w:t>Der Beschwerdeführer stellt die mangelnde Substanziierung eines Geheimhaltungsrechts vor Bundesgericht nicht in Abrede, sondern argumentiert vielmehr, mangels eines hinreichenden Tatverdachts sei "die Entsiegelung grundsätzlich abzuweisen" und "die Geheimsphäre uneingeschränkt zu [wahren]", weshalb auch nicht weiter auszuführen und zu belegen sei, dass die angefochtene Verfügung einen nicht mehr korrigierbaren Eingriff in rechtlich geschützte Privatgeheimnisse darstelle. Entgegen der Auffassung der Vorinstanz bedürfe es keiner speziellen Begründung, worin das Recht auf Schutz der Privatsphäre sowie auf Schutz der Geheimhaltung bestehe.</w:t>
      </w:r>
    </w:p>
    <w:p>
      <w:r>
        <w:t>Wie es sich damit für das kantonale Entsiegelungsverfahren verhält, muss hier nicht beurteilt werden. Die pauschalen Hinweise des Beschwerdeführers auf private Korrespondenz oder Fotos vermögen nämlich nach der zitierten Rechtsprechung jedenfalls nicht zu belegen, dass ihm durch die Entsiegelung ein nicht wieder gutzumachender Nachteil im Sinne von Art. 93 Abs. 1 lit. a BGG droht. Folglich fehlt es an den Voraussetzungen einer selbständigen Anrufung des Bundesgerichts. Der Entsiegelungsentscheid ist stattdessen gemäss Art. 93 Abs. 3 BGG durch Beschwerde gegen den Endentscheid anfechtbar, soweit er sich auf dessen Inhalt auswirkt.</w:t>
      </w:r>
    </w:p>
    <w:p>
      <w:r>
        <w:rPr>
          <w:b/>
        </w:rPr>
        <w:t>E. 3</w:t>
      </w:r>
    </w:p>
    <w:p>
      <w:r>
        <w:t>Auf die Beschwerde ist nicht einzutreten.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