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291/2023 vom 12. Oktober 2023</w:t>
      </w:r>
    </w:p>
    <w:p>
      <w:r>
        <w:t>Bundesgericht, 2023-10-12, DE</w:t>
      </w:r>
    </w:p>
    <w:p>
      <w:r>
        <w:rPr>
          <w:b/>
        </w:rPr>
        <w:t xml:space="preserve">Quelle: </w:t>
      </w:r>
      <w:r>
        <w:t>https://mcp.opencaselaw.ch/entscheid/bger_7B_291_2023</w:t>
      </w:r>
    </w:p>
    <w:p>
      <w:r>
        <w:t>FR: TF 7B 291/2023 du 12 octobre 2023</w:t>
      </w:r>
    </w:p>
    <w:p>
      <w:r>
        <w:t>IT: TF 7B 291/2023 del 12 ottobre 2023</w:t>
      </w:r>
    </w:p>
    <w:p>
      <w:pPr>
        <w:pStyle w:val="Heading2"/>
      </w:pPr>
      <w:r>
        <w:t>Regeste</w:t>
      </w:r>
    </w:p>
    <w:p>
      <w:r>
        <w:t>Strafverfahren; gewerbmässiger Betrug / Aufrechterhaltung der Beschlagnahme | Strafprozess</w:t>
      </w:r>
    </w:p>
    <w:p>
      <w:pPr>
        <w:pStyle w:val="Heading2"/>
      </w:pPr>
      <w:r>
        <w:t>Erwägungen</w:t>
      </w:r>
    </w:p>
    <w:p>
      <w:r>
        <w:rPr>
          <w:b/>
        </w:rPr>
        <w:t>E. 1.1</w:t>
      </w:r>
    </w:p>
    <w:p>
      <w:r>
        <w:t>Angefochten ist ein kantonal letztinstanzlicher Entscheid über die Beschlagnahme in einem Strafverfahren. Dagegen steht die Beschwerde in Strafsachen nach Art. 78 bis 81 BGG offen. Es handelt sich um einen Zwischenentscheid, der für die Beschwerdeführer einen nicht wieder gutzumachenden Nachteil im Sinne von Art. 93 Abs. 1 lit. a BGG bewirken kann, da die durch ihn bewirkte Verminderung des Haftungssubstrats durch den Endentscheid nicht mehr behoben werden kann. Die Privatkläger sind nach Art. 81 Abs. 1 lit. a und lit. b Ziff. 5 BGG zur Beschwerde legitimiert (vgl. BGE 140 IV 57 E. 2.3 und 2.4).</w:t>
      </w:r>
    </w:p>
    <w:p>
      <w:r>
        <w:rPr>
          <w:b/>
        </w:rPr>
        <w:t>E. 1.2</w:t>
      </w:r>
    </w:p>
    <w:p>
      <w:r>
        <w:t>Bei streitigen strafprozessualen Zwangsmassnahmen prüft das Bundesgericht die Auslegung und Anwendung der StPO frei. Art. 98 BGG gelangt hier nicht zur Anwendung ( BGE 143 IV 330 E. 2.1; 140 IV 57 E. 2.2; 138 IV 186 E. 1.2; je mit weiteren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und wenn die Behebung des Mangels für den Ausgang des Verfahrens entscheidend sein kann ( Art. 97 Abs. 1 und Art. 105 Abs. 2 BGG ).</w:t>
      </w:r>
    </w:p>
    <w:p>
      <w:r>
        <w:rPr>
          <w:b/>
        </w:rPr>
        <w:t>E. 2</w:t>
      </w:r>
    </w:p>
    <w:p>
      <w:r>
        <w:t>Nach Art. 112 Abs. 1 lit. b BGG müssen beim Bundesgericht anfechtbare Entscheide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146 IV 231 E. 2.6.1;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(so etwa Urteil 6B_1186/2022 vom 12. Juli 2023, nicht zur Publ. vorgesehene E. 5.7 mit Hinweis).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Hinweisen).</w:t>
      </w:r>
    </w:p>
    <w:p>
      <w:r>
        <w:rPr>
          <w:b/>
        </w:rPr>
        <w:t>E. 3.1</w:t>
      </w:r>
    </w:p>
    <w:p>
      <w:r>
        <w:t>Die Beschwerdeführer machen geltend, durch die angeordnete Freigabe beschlagnahmter Vermögenswerte bestehe die ernsthafte Gefahr, dass bei Vorliegen eines rechtskräftigen Urteils nicht mehr genügend Beschlagnahmesubstrat vorliegen werde, um neben den Verfahrenskosten auch eine gerichtlich angeordnete Ersatzforderung zu decken, die zur Befriedigung der den Beschwerdeführern zugesprochenen Schadenersatzforderung dienen solle. Die vorinstanzliche angeordnete Freigabe von Beschlagnahmesubstrat verstosse deshalb gegen Art. 71 Abs. 3 StGB .</w:t>
      </w:r>
    </w:p>
    <w:p>
      <w:r>
        <w:rPr>
          <w:b/>
        </w:rPr>
        <w:t>E. 3.2</w:t>
      </w:r>
    </w:p>
    <w:p>
      <w:r>
        <w:t>Nach Art. 263 Abs. 1 StPO können Gegenstände und Vermögenswerte einer beschuldigten Person oder einer Drittperson beschlagnahmt werden, wenn sie voraussichtlich als Beweismittel gebraucht werden (lit. a), zur Sicherstellung von Verfahrenskosten, Geldstrafen, Bussen und Entschädigungen gebraucht werden (lit. b), den Geschädigten zurückzugeben sind (lit. c) oder einzuziehen sind (lit. d). 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auf eine Ersatzforderung des Staates in gleicher Höhe, gegenüber einer Drittperson jedoch nur, soweit dies nach Art. 70 Abs. 2 StGB nicht ausgeschlossen ist ( Art. 71 Abs. 1 StGB ). Die Untersuchungsbehörde kann im Hinblick auf die Durchsetzung der Ersatzforderung Vermögenswerte mit Beschlag belegen. Die Beschlagnahme begründet bei der Zwangsvollstreckung der Ersatzforderung kein Vorzugsrecht zu Gunsten des Staates ( Art. 71 Abs. 3 StGB ). Die nach Art. 71 Abs. 3 StGB beschlagnahmten Vermögenswerte brauchen keinen Zusammenhang zur untersuchten Straftat aufzuweisen. Damit unterscheidet sich dieser strafprozessuale Arrest von der Einziehungsbeschlagnahme nach Art. 263 Abs. 1 lit. d StPO , bei welcher ein Konnex zwischen der Tat und den mit Beschlag belegten Vermögenswerten bestehen muss ( BGE 140 IV 57 E. 4.1.2 S. 63 mit Hinweisen). Anders als eine Einziehungsbeschlagnahme stellt eine Beschlagnahme zur Durchsetzung einer Ersatzforderung des Staats auch nicht die Vorstufe zu einer Einziehung dar (Urteile 6B_439/2019 vom 12. September 2019 E. 2.3.2; 1B_300/2013 vom 14. April 2014 E. 5.3.1 mit Hinweisen). Die Vollstreckung einer Ersatzforderung hat gemäss der Rechtsprechung nach den Vorschriften des SchKG durch die gemäss diesem Gesetz zuständigen Behörden zu erfolgen ( BGE 142 III 174 E. 3.1.2; 141 IV 360 E. 3.2; je mit Hinweisen). Das Gericht hat im Endurteil daher lediglich über die Aufrechterhaltung der Ersatzforderungsbeschlagnahme zu entscheiden, die nach Inkrafttreten des Urteils bestehen bleibt, bis sie durch eine Massnahme des Schuldbetreibungsrechts ersetzt wird. Die direkte Verwendung eines beschlagnahmten Vermögenswerts zur Tilgung einer Ersatzforderung verstösst demgegenüber gegen Bundesrecht ( BGE 141 IV 360 E. 3.2 mit Hinweisen; Urteile 6B_1354/2021 vom 22. März 2023 E. 4.5.2; 6B_1362/2020 vom 20. Juni 2022 E. 23.5.4 mit Hinweis).</w:t>
      </w:r>
    </w:p>
    <w:p>
      <w:r>
        <w:rPr>
          <w:b/>
        </w:rPr>
        <w:t>E. 3.3</w:t>
      </w:r>
    </w:p>
    <w:p>
      <w:r>
        <w:t>Nach dem Grundsatz der Verhältnismässigkeit, dem die Beschlagnahme als strafprozessuale Zwangsmassnahme unterliegt ( Art. 36 BV ; Art. 197 Abs. 1 lit. c und d StPO ), ist es nicht zu beanstanden, wenn die Vorinstanz prüft, ob die Beschlagnahme noch gerechtfertigt ist. Dies gilt - wie die Vorinstanz zu Recht erkannt hat - unabhängig vom Vorliegen der vom Beschwerdegegner geltend gemachten Steuerforderung. Ebenso ist es richtig, wenn sie dabei insbesondere den erstinstanzlichen Entscheid in der Sache und die Berufungsanträge betreffend die Ersatzforderung berücksichtigt. Die - für das Bundesgericht verbindliche ( Art. 105 BGG ) - Feststellung der Vorinstanz, die Ersatzforderung könne zweitinstanzlich nicht höher als Fr. 3'981'699.95 ausfallen, muss Massstab für die Ersatzforderungsbeschlagnahme sein (vgl. Art. 268 StPO ; Art. 97 Abs. 2 SchKG ), wobei die zuständige Behörde deren Umfang nach pflichtgemässem Ermessen festzulegen hat. Bestehen Bewertungsunsicherheiten hinsichtlich der Vermögenswerte oder unterliegen diese relevanten Wertschwankungen, ist dies grundsätzlich zu berücksichtigen, was auch der Beschwerdegegner in seiner Vernehmlassung an das Bundesgericht nicht in Abrede stellt. Ansonsten würde der Gläubiger riskieren, dass seine Forderung dereinst nicht vollumfänglich gedeckt ist, obschon ursprünglich genügend beschlagnahmte Vermögenswerte vorhanden waren. Ob und inwieweit dieses Risiko besteht, hängt jedoch massgeblich von der Art der beschlagnahmten Gegenstände und Vermögenswerte ab. Die Vorinstanz stellt lediglich fest, dass "ein grosser Teil der beschlagnahmten Vermögenswerte in Wertpapieren angelegt ist, deren Wert Marktschwankungen unterworfen ist", ohne sich jedoch näher dazu zu äussern, welcher Anteil der beschlagnahmten Vermögenswerte konkret angelegt ist und in welcher Art von Wertschriften. Dies wäre aber zwingend erforderlich, um zu beurteilen, ob und gegebenenfalls in welchem Umfang die Freigabe von Vermögenswerten im jetzigen Zeitpunkt gerechtfertigt ist. Der verwendete Begriff "Wertpapiere" lässt keinen Schluss auf das Risikoprofil und - damit einhergehend - die zu erwartenden Wertschwankungen zu. Die Vorinstanz listet zwar die für die Ersatzforderung vorgesehenen Vermögenswerte mit den zugehörigen Konto- und Depotnummern auf. Aus dieser Aufstellung ergibt sich jedoch lediglich, dass offenbar diverse grössere Wertschriftendepots bestehen, deren Wert sich im Übrigen zwischen November 2021 und Februar 2023 anscheinend teilweise erheblich verändert hat. Die Vorinstanz stellt denn auch fest, die vom Bezirksgericht für die Ersatzforderung vorgesehenen Vermögenswerte seien vom Zeitpunkt des erstinstanzlichen Urteils (11. November 2021) bis Februar 2023 um Fr. 680'000.-- gesunken. Worauf diese Wertveränderung zurückzuführen ist, ergibt sich aber nicht aus dem angefochtenen Beschluss. Die Würdigung der Vorinstanz, es würden (nach den beschwerdegegenständlichen Freigaben) "genügend Vermögenswerte gesperrt gehalten, um mögliche Wertschwankungen aufzufangen", ist unter diesen Umständen nicht nachvollziehbar. Mithin fehlt es an den Feststellungen, die zur Überprüfung der korrekten Anwendung des eidgenössischen Rechts notwendig sind.</w:t>
      </w:r>
    </w:p>
    <w:p>
      <w:r>
        <w:rPr>
          <w:b/>
        </w:rPr>
        <w:t>E. 4</w:t>
      </w:r>
    </w:p>
    <w:p>
      <w:r>
        <w:t>Die Beschwerde ist gutzuheissen. Der angefochtene Beschluss ist aufzuheben und die Sache zu neuer Entscheidung an die Vorinstanz zurückzuweisen. Die Gerichtskosten sind dem unterliegenden Beschwerdegegner aufzuerlegen ( Art. 66 Abs. 1 BGG ). Dieser hat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