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7B_285/2023 vom 26. Juli 2023</w:t>
      </w:r>
    </w:p>
    <w:p>
      <w:r>
        <w:t>Bundesgericht, 2023-07-26, FR</w:t>
      </w:r>
    </w:p>
    <w:p>
      <w:r>
        <w:rPr>
          <w:b/>
        </w:rPr>
        <w:t xml:space="preserve">Quelle: </w:t>
      </w:r>
      <w:r>
        <w:t>https://mcp.opencaselaw.ch/entscheid/bger_7B_285_2023</w:t>
      </w:r>
    </w:p>
    <w:p>
      <w:r>
        <w:t>FR: TF 7B_285/2023 du 26 juillet 2023</w:t>
      </w:r>
    </w:p>
    <w:p>
      <w:r>
        <w:t>IT: TF 7B_285/2023 del 26 luglio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soutient que les infractions dénoncées de faux dans les titres et d'escroquerie seraient susceptibles de lui causer, sous la forme d'un gain manqué, un dommage d'au moins 70'000 fr. correspondant aux prétentions liées au licenciement abusif, qu'il fait valoir dans le procès civil l'opposant à son ancien employeur.</w:t>
      </w:r>
    </w:p>
    <w:p>
      <w:r>
        <w:t>Par son argumentation, le recourant ne fait toutefois pas état de prétentions civiles qui pourraient être réclamées dans une action civile par adhésion à la procédure pénale. En effet, les prétentions alléguées sont de nature exclusivement contractuelle et font l'objet d'un litige civil pendant auprès d'un autre tribunal, de sorte qu'elles ne peuvent pas être invoquées dans le procès pénal (cf. consid. 1.1</w:t>
      </w:r>
    </w:p>
    <w:p>
      <w:r>
        <w:t>supra;</w:t>
      </w:r>
    </w:p>
    <w:p>
      <w:r>
        <w:t>ATF 145 IV 351 consid 4.3).</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