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7B_283/2025 vom 15. Mai 2025</w:t>
      </w:r>
    </w:p>
    <w:p>
      <w:r>
        <w:t>Bundesgericht, 2025-05-15, DE</w:t>
      </w:r>
    </w:p>
    <w:p>
      <w:r>
        <w:rPr>
          <w:b/>
        </w:rPr>
        <w:t xml:space="preserve">Quelle: </w:t>
      </w:r>
      <w:r>
        <w:t>https://mcp.opencaselaw.ch/entscheid/bger_7B_283_2025</w:t>
      </w:r>
    </w:p>
    <w:p>
      <w:r>
        <w:t>FR: TF 7B_283/2025 du 15 mai 2025</w:t>
      </w:r>
    </w:p>
    <w:p>
      <w:r>
        <w:t>IT: TF 7B_283/2025 del 15 maggio 2025</w:t>
      </w:r>
    </w:p>
    <w:p>
      <w:pPr>
        <w:pStyle w:val="Heading2"/>
      </w:pPr>
      <w:r>
        <w:t>Erwägungen</w:t>
      </w:r>
    </w:p>
    <w:p>
      <w:r>
        <w:rPr>
          <w:b/>
        </w:rPr>
        <w:t>E. 1.1</w:t>
      </w:r>
    </w:p>
    <w:p>
      <w:r>
        <w:t>Vor dem Bezirksgericht Luzern ist ein Strafverfahren gegen A.________ hängig wegen mehrfacher übler Nachrede. Im Rahmen dieses Verfahrens stellte A.________ am 20. Dezember 2024 sinngemäss ein Gesuch um Gewährung der amtlichen Verteidigung für das Hauptverfahren. Das Bezirksgericht wies das Gesuch ab. Eine dagegen von A.________ erhobene Beschwerde an das Kantonsgericht Luzern, wies dieses mit Beschluss vom 20. März 2025 ab. Gegen diesen Beschluss erhob A.________ mit Eingabe vom 29. März 2025 Beschwerde in Strafsachen an das Bundesgericht.</w:t>
      </w:r>
    </w:p>
    <w:p>
      <w:r>
        <w:rPr>
          <w:b/>
        </w:rPr>
        <w:t>E. 1.2</w:t>
      </w:r>
    </w:p>
    <w:p>
      <w:r>
        <w:t>Mit Präsidialverfügung vom 8. April 2025 hat das Bundesgericht das Gesuch um vorsorgliche Massnahme gutgeheissen und die auf den 16. April 2025 anberaumte Hauptverhandlung bis zum Entscheid des Bundesgerichts im vorliegend Verfahren aufgeschoben.</w:t>
      </w:r>
    </w:p>
    <w:p>
      <w:r>
        <w:rPr>
          <w:b/>
        </w:rPr>
        <w:t>E. 2</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Der Beschwerdeführer setzt sich nicht hinreichend substanziiert mit der Begründung der Vorinstanz auseinander, wonach ihm eine Strafe drohe, die unter dem in Art. 132 Abs. 3 StPO vorgegebenen Schwellenwert liege, weshalb ein Bagatellfall im Sinn von Art. 132 Abs. 3 StPO vorliege, der weder besondere rechtliche noch tatsächliche Schwierigkeiten biete, denen der Beschwerdeführer nicht gewachsen sei. Stattdessen kritisiert der Beschwerdeführer in abstrakter und allgemeiner Weise den Umstand, dass es ihm, obwohl er derzeit einen BLaw an der Universität Zürich absolviert, an juristischem Spezialwissen und Zugang zu geeigneten Ressourcen fehle. Er habe Mühe, die schweizerische richterliche Argumentation zu verstehen, welche klare Fakten und logische Argumente selektiv ausser Acht zu lassen scheine. Zudem bestünden systemische Probleme, wie z.B. die unterschiedliche Behandlung von Nicht-Schweizern, welche die Gerichte in der Vergangenheit nicht berücksichtigt hätten. Mit dieser pauschalen appellatorischen Kritik ohne Bezugnahme auf die Argumentation der Vorinstanz vermag der Beschwerdeführer nicht konkret aufzuzeigen, inwiefern deren Begründung, die zur Abweisung seines Gesuchs um unentgeltliche Rechtspflege und amtliche Verteidigung geführt hat, rechts- bzw. verfassungswidrig sein soll. Die Beschwerde genügt den vorgenannten gesetzlichen Formerfordernissen daher offensichtlich nicht, weshalb auf sie im vereinfachten Verfahren nach Art. 108 Abs. 1 lit. b BGG nicht einzutreten ist.</w:t>
      </w:r>
    </w:p>
    <w:p>
      <w:r>
        <w:rPr>
          <w:b/>
        </w:rPr>
        <w:t>E. 4</w:t>
      </w:r>
    </w:p>
    <w:p>
      <w:r>
        <w:t>Bei diesem Ausgang des Verfahrens wird der Beschwerdeführer kostenpflichtig ( Art. 66 Abs. 1 BGG ). Sein Gesuch um unentgeltliche Rechtspflege ist wegen Aussichtslosigkeit abzuweisen ( Art. 64 Abs. 1 BGG ). Der angespannten finanziellen Situation des Beschwerdeführers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