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7B_282/2022 vom 22. Mai 2024</w:t>
      </w:r>
    </w:p>
    <w:p>
      <w:r>
        <w:t>Bundesgericht, 2024-05-22, DE</w:t>
      </w:r>
    </w:p>
    <w:p>
      <w:r>
        <w:rPr>
          <w:b/>
        </w:rPr>
        <w:t xml:space="preserve">Quelle: </w:t>
      </w:r>
      <w:r>
        <w:t>https://mcp.opencaselaw.ch/entscheid/bger_7B_282_2022</w:t>
      </w:r>
    </w:p>
    <w:p>
      <w:r>
        <w:t>FR: TF 7B_282/2022 du 22 mai 2024</w:t>
      </w:r>
    </w:p>
    <w:p>
      <w:r>
        <w:t>IT: TF 7B_282/2022 del 22 maggio 2024</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wendet sich gegen die vorinstanzlichen Sachverhaltsfeststellungen mit der Behauptung, es sei unmöglich, dass er sich am 16. November 2016 um 9.15 Uhr in der Wohnung von B.________ befunden habe.</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mit Hinweisen; 145 IV 154 E. 1.1; Urteile 6B_384/2023 vom 24. April 2024 E. 1.1.1; 7B_74/2022 vom 2. April 2024 E. 2.1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Urteile 6B_989/2021 vom 18. März 2024 E. 2.1.2; 7B_223/2022 vom 14. März 2024 E. 2.2;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t>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IV 409 E. 2.2 ; 148 I 127 E. 4.3; 143 IV 500 E. 1.1; Urteil 7B_7/2021, 7B_6/2021 vom 5. März 2024 E. 3; je mit Hinweis[en]). Der blosse Widerspruch zu Erwägungen der Vorinstanz qualifiziert eine Entscheidung noch nicht als willkürlich ( BGE 146 IV 297 E. 2.2.5 mit Verweis auf 141 IV 369 E. 6.3; Urteil 7B_168/2022 vom 25. März 2024 E. 3.3.3 mit Hinweis). Willkür ist nicht bereits gegeben, wenn eine andere Lösung ebenfalls vertretbar oder sogar vorzuziehen ("préférable") wäre ( BGE 148 IV 374 E. 3.2.2; Urteile 6B_941/2023 vom 29. April 2024 E. 1.2.1; 7B_74/2022 vom 2. April 2024 E. 2.1; je mit Hinweis[en]). Auf appellatorische Kritik tritt das Bundesgericht nicht ein ( BGE 148 IV 409 E. 2.2, 356 E. 2.1; Urteile 6B_941/2023 vom 29. April 2024 E. 1.2.1; 7B_388/2024 vom 15. April 2024 E. 2; je mit Hinweis[en]).</w:t>
      </w:r>
    </w:p>
    <w:p>
      <w:r>
        <w:t>Das Bundesgericht prüft die vorinstanzliche Beweiswürdigung, selbst wenn sie auf Indizien beruht, und die sich daraus ergebenden tatsächlichen Schlussfolgerungen nur mit beschränkter Kognition (Urteil 6B_429/2023 vom 31. August 2023 E. 2.3 mit Hinweisen). Wer vor Bundesgericht eine willkürliche Beweiswürdigung rügt, darf sich daher nicht darauf beschränken, aufzuzeigen, wie einzelne Indizien willkürfrei zu würdigen gewesen wären. Die beschwerdeführende Partei muss sich vielmehr mit der gesamten Beweislage befassen und darlegen, inwiefern aus ihrer Sicht auch der aus der Gesamtheit der verschiedenen Indizien gezogene Schluss geradezu willkürlich ist (Urteile 6B_941/2023 vom 29. April 2024 E. 1.2.2; 6B_1380/2023 vom 25. März 2024 E. 1.3.2; 7B_200/2022 vom 9. November 2023 E. 2.2.1 je mit Hinweisen).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(Urteile 6B_429/2023 vom 31. August 2023 E. 2.3; 6B_219/2021, 6B_228/2021 vom 19. April 2023 E. 2.2; je mit Hinweisen).</w:t>
      </w:r>
    </w:p>
    <w:p>
      <w:r>
        <w:t>Dem Grundsatz "in dubio pro reo" kommt in seiner Funktion als Beweiswürdigungsregel im Verfahren vor dem Bundesgericht keine über das Willkürverbot von Art. 9 BV hinausgehende Bedeutung zu ( BGE 146 IV 297 E. 2.2.5, 88 E. 1.3.1; 144 IV 345 E. 2.2.3.1 mit Hinweisen; 138 V 74 E. 7 mit Hinweisen; Urteile 7B_168/2022 vom 25. März 2024 E. 3.4.4; 6B_1380/2023 vom 25. März 2024 E. 1.3.1; vgl. BGE 148 IV 409 E. 2.2; 143 IV 500 E. 1.1; je mit Hinweisen).</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mit Hinweisen; 146 III 73 E. 5.2.2 mit Verweis auf 143 III 297 E. 9.3.2; Urteile 7B_292/2022 vom 4. April 2024 E. 3.2; 7B_168/2022 vom 25. März 2024 E. 3.3.5; je mit Hinweis[en]). Art. 139 Abs. 2 StPO ist die gesetzliche Umschreibung der Konstellationen, in welchen eine antizipierte Beweiswürdigung zulässig ist (Urteile 7B_240/2022 vom 1. Februar 2024 E. 4.2.2; 6B_429/2023 vom 31. August 2023 E. 2.4; 7B_186/2022 vom 14. August 2023 E. 3; je mit Hinweis[en]).</w:t>
      </w:r>
    </w:p>
    <w:p>
      <w:r>
        <w:rPr>
          <w:b/>
        </w:rPr>
        <w:t>E. 2.2</w:t>
      </w:r>
    </w:p>
    <w:p>
      <w:r>
        <w:t>Diesen Grundsätzen schenkt der Beschwerdeführer in seiner Beschwerdebegründung keine hinreichende Beachtung. So schildert er unter der Überschrift "B. Sachverhalt" (S. 6-11 der Beschwerde) zunächst den behaupteten Sachverhalt aus seiner Sicht, ohne Ausnahmen von der Bindung an den vorinstanzlich festgestellten Sachverhalt geltend zu machen. Darauf ist nicht weiter einzugehen.</w:t>
      </w:r>
    </w:p>
    <w:p>
      <w:r>
        <w:t>Zu seinen Ausführungen unter dem Titel "C. Willkürliche Feststellungen und Beweiswürdigung" (S. 11-26 der Beschwerde) ist sodann Folgendes zu bemerken: Soweit er rügt, die Strafbehörden hätten die "Abnahme offensichtlich gebotener Beweise unterlassen und die wirksame Ausübung von Verteidigungsrechten" vereitelt, macht er sinngemäss eine Verletzung seines (verfassungsrechtlichen) Rechts auf Beweis geltend. Er zeigt aber gerade nicht in einer den strengen Begründungsanforderungen des Art. 106 Abs. 2 BGG genügenden Weise, d.h. namentlich unter Anführung von konkreten Aktenhinweisen, auf, welche Beweisanträge er bei den kantonalen Sachgerichten gestellt hat, die in der Folge zu Unrecht abgelehnt worden sein sollen. Auch in Bezug auf die Einvernahme von B.________ zeigt er nicht substanziiert auf, inwiefern sein Konfrontationsrecht konkret verletzt worden sein soll.</w:t>
      </w:r>
    </w:p>
    <w:p>
      <w:r>
        <w:t>Insgesamt erschöpfen sich die Ausführungen in der Beschwerdeschrift in appellatorischer Kritik: Der Beschwerdeführer versucht, punktuelle Zweifel an der vorinstanzlichen Beweiswürdigung zu wecken (mitunter wenig plausibel: "insbesondere, dass die Tür mit einem Schlüssel geöffnet werden musste, ist durch nichts erstellt") und seine eigene Sicht der Dinge zu präsentieren ("Wird richtigerweise auf die Angaben des Beschwerdeführers abgestellt, kann er nicht der Täter gewesen sein"), übersieht dabei aber, dass er vor Bundesgericht Willkür aufzeigen müsste und nicht wie vor einer Berufungsinstanz frei zum Sachverhalt plädieren kann. Soweit er sich zudem auf den Grundsatz "in dubio pro reo" beruft, verkennt er, dass diesem vor Bundesgericht im Zusammenhang mit der Beweiswürdigung keine über das Willkürverbot von Art. 9 BV hinausgehende Bedeutung zukommt. Willkür vermag der Beschwerdeführer denn auch nicht aufzuzeigen, soweit er unzulässige antizipierte Beweiswürdigungen geltend macht.</w:t>
      </w:r>
    </w:p>
    <w:p>
      <w:r>
        <w:t>Schliesslich ist der Umstand zu betonen, dass es sich beim Verfahren vor den kantonalen Sachgerichten letztlich um einen Indizienprozess gehandelt hat: Damit hätte der Beschwerdeführer darlegen müssen, inwiefern auch der aus der Gesamtheit der verschiedenen Indizien gezogene Schluss geradezu willkürlich ist. Dies hat er nicht bzw. nicht in einer den strengen Substanziierungsanforderungen nach Art. 106 Abs. 2 BGG genügenden Weise getan. Damit fällt auch die immer wieder erhobene Kritik der "Ermittlungsverschleppung" in sich zusammen, vermag doch der Beschwerdeführer nicht aufzuzeigen, dass die letztlich erhobenen Indizien in ihrer Gesamtheit willkürlich gewürdigt worden wären.</w:t>
      </w:r>
    </w:p>
    <w:p>
      <w:r>
        <w:rPr>
          <w:b/>
        </w:rPr>
        <w:t>E. 3</w:t>
      </w:r>
    </w:p>
    <w:p>
      <w:r>
        <w:t>Die Beschwerde ist abzuweisen, soweit auf sie mit Blick auf die weitgehend appellatorische Natur der vorgebrachten Kritik überhaupt eingetreten werden kann.</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