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281/2024 vom 29. April 2024</w:t>
      </w:r>
    </w:p>
    <w:p>
      <w:r>
        <w:t>Bundesgericht, 2024-04-29, DE</w:t>
      </w:r>
    </w:p>
    <w:p>
      <w:r>
        <w:rPr>
          <w:b/>
        </w:rPr>
        <w:t xml:space="preserve">Quelle: </w:t>
      </w:r>
      <w:r>
        <w:t>https://mcp.opencaselaw.ch/entscheid/bger_7B_281_2024</w:t>
      </w:r>
    </w:p>
    <w:p>
      <w:r>
        <w:t>FR: TF 7B 281/2024 du 29 avril 2024</w:t>
      </w:r>
    </w:p>
    <w:p>
      <w:r>
        <w:t>IT: TF 7B 281/2024 del 29 aprile 2024</w:t>
      </w:r>
    </w:p>
    <w:p>
      <w:pPr>
        <w:pStyle w:val="Heading2"/>
      </w:pPr>
      <w:r>
        <w:t>Regeste</w:t>
      </w:r>
    </w:p>
    <w:p>
      <w:r>
        <w:t>Nichtanhandnahme; Nichteintreten | Strafprozess</w:t>
      </w:r>
    </w:p>
    <w:p>
      <w:pPr>
        <w:pStyle w:val="Heading2"/>
      </w:pPr>
      <w:r>
        <w:t>Erwägungen</w:t>
      </w:r>
    </w:p>
    <w:p>
      <w:r>
        <w:rPr>
          <w:b/>
        </w:rPr>
        <w:t>E. 1</w:t>
      </w:r>
    </w:p>
    <w:p>
      <w:r>
        <w:t>Die Beschwerdeführerin wendete sich als Privatklägerin mit Beschwerde gegen die Nichtanhandnahmeverfügung der Staatsanwaltschaft Zürich-Sihl vom 12. Januar 2024 an das Obergericht des Kantons Zürich. Dieses forderte die Beschwerdeführerin mit Verfügung vom 22. Februar 2024 auf, innert Frist von 10 Tagen zur Deckung der allfällig sie treffenden Prozesskosten eine Prozesskaution von einstweilen Fr. 1'800.-- zu leisten, unter Androhung, dass sonst auf die Beschwerde nicht eingetreten wird.</w:t>
      </w:r>
    </w:p>
    <w:p>
      <w:r>
        <w:rPr>
          <w:b/>
        </w:rPr>
        <w:t>E. 2</w:t>
      </w:r>
    </w:p>
    <w:p>
      <w:r>
        <w:t>Die Beschwerdeführerin gelangt mit Eingabe datierend vom 27. Februar 2024 ans Bundesgericht. Sie macht geltend, sie sei ausserstande, Gerichtskosten von Fr. 1'800.-- zu bezahlen.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Verfahrensleitung der Rechtsmittelinstanz kann die Privatklägerschaft verpflichten, innert einer Frist für allfällige Kosten und Entschädigungen Sicherheit zu leisten ( Art. 383 Abs. 1 StPO ). Die Vorinstanz hat die Beschwerdeführerin auf diese Rechtslage hingewiesen. Was an der angefochtenen Verfügung in tatsächlicher oder rechtlicher Hinsicht fehlerhaft sein sollte, ergibt sich aus der Beschwerde nicht. Die Beschwerdeführerin macht auch nicht geltend, sie hätte vor der Vorinstanz ein Gesuch um unentgeltliche Rechtspflege i.S.v. Art. 136 StPO gestellt und dieses sei nicht behandelt worden. Damit vermag die Beschwerdeführerin den Begründungsanforderungen vor Bundesgericht nicht nachzukommen. Der Begründungsmangel ist offensichtlich ( Art. 42 Abs. 2, Art. 106 Abs. 2 BGG ).</w:t>
      </w:r>
    </w:p>
    <w:p>
      <w:r>
        <w:rPr>
          <w:b/>
        </w:rPr>
        <w:t>E. 5</w:t>
      </w:r>
    </w:p>
    <w:p>
      <w:r>
        <w:t>Auf die Beschwerde ist im Verfahren nach Art. 108 BGG nicht einzutreten. Die Gerichtskosten sind der Beschwerdeführerin aufzuerlegen ( Art. 66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