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7B_280/2025 vom 6. Juni 2025</w:t>
      </w:r>
    </w:p>
    <w:p>
      <w:r>
        <w:t>Bundesgericht, 2025-06-06, FR</w:t>
      </w:r>
    </w:p>
    <w:p>
      <w:r>
        <w:rPr>
          <w:b/>
        </w:rPr>
        <w:t xml:space="preserve">Quelle: </w:t>
      </w:r>
      <w:r>
        <w:t>https://mcp.opencaselaw.ch/entscheid/bger_7B_280_2025</w:t>
      </w:r>
    </w:p>
    <w:p>
      <w:r>
        <w:t>FR: TF 7B_280/2025 du 6 juin 2025</w:t>
      </w:r>
    </w:p>
    <w:p>
      <w:r>
        <w:t>IT: TF 7B_280/2025 del 6 giugno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w:t>
      </w:r>
    </w:p>
    <w:p>
      <w:r>
        <w:t>En l'espèce, la recourante ne dit mot, dans son recours, au sujet d'éventuelles prétentions civiles envers les policiers contre lesquels elle a déposé plainte pénale. De surcroît, ces policiers sont des agents de l'État de Genève et les reproches de la recourante se rapportent à un comportement qu'ils auraient adopté dans l'exercice de leur fonction, de sorte que seul ce canton répond d'un éventuel dommage, la lésée ne disposant d'aucune action directe contre ces fonctionnaires (cf. art. 1 de la loi genevoise sur la responsabilité de l'État et des communes du 24 février 1989 [LREC; RS/GE A 2 40]; ATF 146 IV 76 consid. 3.1).</w:t>
      </w:r>
    </w:p>
    <w:p>
      <w:r>
        <w:t>En définitive, la recourante ne disposerait, le cas échéant, que d'une prétention de droit public à faire valoir non pas contre les auteurs présumés contre lesquels elle a dirigé sa plainte pénale mais contre l'État. Selon la jurisprudence constante, de telles prétentions ne peuvent pas être invoquées dans le procès pénal par voie d'adhésion et ne constituent donc pas des prétentions civiles au sens de l' art. 81 LTF ( ATF 138 IV 86 consid. 3.1).</w:t>
      </w:r>
    </w:p>
    <w:p>
      <w:r>
        <w:t>La recourante ne démontre par conséquent pas avoir qualité pour recourir sur le fond en application de l'art. 81 al. 1 let. a et b ch. 5 LTF.</w:t>
      </w:r>
    </w:p>
    <w:p>
      <w:r>
        <w:rPr>
          <w:b/>
        </w:rPr>
        <w:t>E. 1.3</w:t>
      </w:r>
    </w:p>
    <w:p>
      <w:r>
        <w:t>Pour le surplus, la recourante n'invoque pas la violation de garanties constitutionnelles ou conventionnelles (cf. art. 3 CEDH , 10 al. 3 Cst., 7 Pacte ONU II et Convention des Nations Unies contre la torture et autres peines ou traitements cruels, inhumains ou dégradants conclue à New York le 10 décembre 1984 [Convention contre la torture; RS 0.105]), dont elle pourrait éventuellement déduire sa qualité pour recourir (cf. ATF 138 IV 86 consid. 3.3.1; cf. ég. arrêts 7B_10/2023 du 6 septembre 2023 consid. 1.3.1; 6B_1033/2022 du 22 mars 2023 consid. 1.4.1). À tout le moins ne présente-t-elle pas, quant à une éventuelle violation de ses droits fondamentaux, de motivation répondant aux exigences accrues déduites de l' art. 106 al. 2 LTF .</w:t>
      </w:r>
    </w:p>
    <w:p>
      <w:r>
        <w:rPr>
          <w:b/>
        </w:rPr>
        <w:t>E. 1.4</w:t>
      </w:r>
    </w:p>
    <w:p>
      <w:r>
        <w:t>L'hypothèse visée à l'art. 81 al. 1 let. b ch. 6 LTF n'entre pas non plus en considération, dès lors que la recourante ne soulève aucun grief concernant spécifiquement son droit de porter plainte.</w:t>
      </w:r>
    </w:p>
    <w:p>
      <w:r>
        <w:rPr>
          <w:b/>
        </w:rPr>
        <w:t>E. 1.5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w:t>
      </w:r>
    </w:p>
    <w:p>
      <w:r>
        <w:t>On ne discerne pas, dans l'écriture de la recourante, de griefs correspondants, en rapport desquels elle aurait qualité pour recourir. En effet, l'intéressée s'en prend à l'établissement des faits et invoque une violation de son droit d'être entendue ainsi que de son droit d'accès à la justice et à un procès équitable en lien avec le refus d'administrer des preuves valablement offertes; elle ne fait valoir, par là, aucun moyen distinct du fond.</w:t>
      </w:r>
    </w:p>
    <w:p>
      <w:r>
        <w:rPr>
          <w:b/>
        </w:rPr>
        <w:t>E. 2</w:t>
      </w:r>
    </w:p>
    <w:p>
      <w:r>
        <w:t>L'irrecevabilité manifeste du recours doit dès lors être constatée dans la procédure prévue par l' art. 108 al. 1 let. a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