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280/2024 vom 28. März 2024</w:t>
      </w:r>
    </w:p>
    <w:p>
      <w:r>
        <w:t>Bundesgericht, 2024-03-28, FR</w:t>
      </w:r>
    </w:p>
    <w:p>
      <w:r>
        <w:rPr>
          <w:b/>
        </w:rPr>
        <w:t xml:space="preserve">Quelle: </w:t>
      </w:r>
      <w:r>
        <w:t>https://mcp.opencaselaw.ch/entscheid/bger_7B_280_2024</w:t>
      </w:r>
    </w:p>
    <w:p>
      <w:r>
        <w:t>FR: TF 7B 280/2024 du 28 mars 2024</w:t>
      </w:r>
    </w:p>
    <w:p>
      <w:r>
        <w:t>IT: TF 7B 280/2024 del 28 marzo 2024</w:t>
      </w:r>
    </w:p>
    <w:p>
      <w:pPr>
        <w:pStyle w:val="Heading2"/>
      </w:pPr>
      <w:r>
        <w:t>Regeste</w:t>
      </w:r>
    </w:p>
    <w:p>
      <w:r>
        <w:t>Ordonnance de non-entrée en matière; irrecevabilité du recours en matière pénale (risque de préjudice irréparable),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2.1</w:t>
      </w:r>
    </w:p>
    <w:p>
      <w:r>
        <w:t>Un arrêt de renvoi constitue en principe une décision incidente ( ATF 138 I 143 consid. 1.2), contre laquelle le recours au Tribunal fédéral n'est ouvert qu'aux conditions des art. 92 et 93 LTF . Sous réserve des cas visés par l' art. 92 LTF (non réalisés en l'espèce),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Un préjudice irréparable se rapporte à un dommage de nature juridique qui ne puisse pas être réparé ultérieurement par un jugement final ou une autre décision favorable à la partie recourante ( ATF 144 IV 321 consid. 2.3; 141 IV 284 consid. 2.2; 137 IV 172 consid. 2.1). Une décision de renvoi n'est en général pas susceptible de causer un préjudice irréparable au sens de l' art. 93 al. 1 let. a LTF ( ATF 147 III 159 consid. 4.1; 144 III 475 consid. 1.2; 142 III 798 consid. 2.2). Lorsqu'un renvoi ne laisse en revanche aucune latitude de jugement à l'autorité inférieure appelée à statuer, il est assimilé à une décision finale et peut faire l'objet d'un recours immédiat au Tribunal fédéral (arrêt 7B_49/2022 du 23 octobre 2023 consid. 1.3 et les réf. citées).</w:t>
      </w:r>
    </w:p>
    <w:p>
      <w:r>
        <w:rPr>
          <w:b/>
        </w:rPr>
        <w:t>E. 2.2</w:t>
      </w:r>
    </w:p>
    <w:p>
      <w:r>
        <w:t>La recourante ne dit en l'occurrence mot sur la recevabilité de son recours sous l'angle de l' art. 93 al. 1 let. a LTF , respectivement sur l'existence d'un risque de préjudice irréparable. L'existence d'un tel risque ne ressort en outre aucunement de l'arrêt attaqué. Cet arrêt de renvoi ne restreint du reste pas la latitude de jugement du Ministère public qui, après l'ouverture d'une enquête pénale et l'administration de certaines preuves, demeurera libre de rendre une ordonnance de classement ou de mise en accusation (cf. art. 318 al. 1 CPP ). On ne voit ainsi pas en quoi l'arrêt attaqué pourrait causer à la recourante un préjudice qu'aucune décision ultérieure - telle qu'une ordonnance de classement ou un jugement au fond prononçant son acquittement - ne serait à même de réparer.</w:t>
      </w:r>
    </w:p>
    <w:p>
      <w:r>
        <w:rPr>
          <w:b/>
        </w:rPr>
        <w:t>E. 2.3</w:t>
      </w:r>
    </w:p>
    <w:p>
      <w:r>
        <w:t>Il s'ensuit que, faute de risque de préjudice irréparable, le recours est manifestement irrecevable et doit dès lors être écarté selon la procédure simplifiée prévue à l' art. 108 al. 1 let. a LTF .</w:t>
      </w:r>
    </w:p>
    <w:p>
      <w:r>
        <w:rPr>
          <w:b/>
        </w:rPr>
        <w:t>E. 3</w:t>
      </w:r>
    </w:p>
    <w:p>
      <w:r>
        <w:t>Comme le recours était d'emblée dénué de chances de succès, la demande d'assistance judiciaire doit être rejetée ( art. 64 al. 1 LTF ), ce qui relève également de la compétence du juge unique prévu par l' art. 108 LTF ( art. 64 al. 3 2 e phrase LTF; arrêt 7B_902/2023 du 10 janvier 2024 consid. 2 et la réf. citée). La recourante,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