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7B_279/2023 vom 1. Dezember 2023</w:t>
      </w:r>
    </w:p>
    <w:p>
      <w:r>
        <w:t>Bundesgericht, 2023-12-01, DE</w:t>
      </w:r>
    </w:p>
    <w:p>
      <w:r>
        <w:rPr>
          <w:b/>
        </w:rPr>
        <w:t xml:space="preserve">Quelle: </w:t>
      </w:r>
      <w:r>
        <w:t>https://mcp.opencaselaw.ch/entscheid/bger_7B_279_2023</w:t>
      </w:r>
    </w:p>
    <w:p>
      <w:r>
        <w:t>FR: TF 7B_279/2023 du 1 décembre 2023</w:t>
      </w:r>
    </w:p>
    <w:p>
      <w:r>
        <w:t>IT: TF 7B_279/2023 del 1 dicembre 2023</w:t>
      </w:r>
    </w:p>
    <w:p>
      <w:pPr>
        <w:pStyle w:val="Heading2"/>
      </w:pPr>
      <w:r>
        <w:t>Erwägungen</w:t>
      </w:r>
    </w:p>
    <w:p>
      <w:r>
        <w:rPr>
          <w:b/>
        </w:rPr>
        <w:t>E. 1.1</w:t>
      </w:r>
    </w:p>
    <w:p>
      <w:r>
        <w:t>Angefochten ist ein kantonal letztinstanzlicher Entscheid betreffend amtliche Verteidigung. Dagegen steht die Beschwerde in Strafsachen nach Art. 78 bis 81 BGG grundsätzlich offen.</w:t>
      </w:r>
    </w:p>
    <w:p>
      <w:r>
        <w:rPr>
          <w:b/>
        </w:rPr>
        <w:t>E. 1.2</w:t>
      </w:r>
    </w:p>
    <w:p>
      <w:r>
        <w:t>Der angefochtene 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Die selbstständige Anfechtbarkeit von Zwischenentscheiden bildet eine Ausnahme vom Grundsatz, dass sich das Bundesgericht mit jeder Angelegenheit nur einmal befassen und diese hierbei insgesamt beurteilen soll. Sie ist nach der Rechtsprechung restriktiv zu handhaben ( BGE 149 II 170 E. 1.3; 144 III 475 E. 1.2 mit Hinweisen). Beim drohenden nicht wieder gutzumachenden Nachteil im Sinne von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mit Hinweisen). Woraus sich der nicht wieder gutzumachende Nachteil ergeben soll, ist in der Beschwerdeschrift darzulegen, sofern dies nicht offensichtlich ist ( BGE 141 IV 284 E. 2.3, 289 E. 1.3, je mit Hinweisen).</w:t>
      </w:r>
    </w:p>
    <w:p>
      <w:r>
        <w:rPr>
          <w:b/>
        </w:rPr>
        <w:t>E. 1.3</w:t>
      </w:r>
    </w:p>
    <w:p>
      <w:r>
        <w:t>Der Beschwerdeführer äussert sich in der Beschwerde nicht dazu, weshalb ihm durch den angefochtenen Beschluss ein nicht wieder gutzumachender Nachteil im genannten Sinne drohen soll, und dies liegt auch nicht auf der Hand. Der bloss vage Hinweis in den Ausführungen zur Sache, wonach eine Vertretung durch einen "lokalen bzw. bernischen Berufskollegen" aufgrund des "kleinräumigen beruflichen Umfelds" sowie beruflicher und persönlicher Bekanntschaften und Verbindungen mit Rücksicht auf seine "Tätigkeiten und berufliche und persönliche Situation" nicht zumutbar sei, vermag nicht zu überzeugen; dies bereits aufgrund des Berufsgeheimnisses, dem Anwältinnen und Anwälte unterstehen (Art. 13 des Bundesgesetzes vom 23. Juni 2000 über die Freizügigkeit der Anwältinnen und Anwälte [Anwaltsgesetz, BGFA; SR 935.61]). Der Beschwerdeführer stützt seine Forderung nach einer ausserkantonalen amtlichen Verteidigung zwar auf sein Vorschlagsrecht gemäss Art. 133 Abs. 2 StPO , macht indessen nicht geltend, dass durch die Einsetzung einer bernischen Anwältin bzw. eines bernischen Anwalts sein Wunsch nach einer Anwältin bzw. einem Anwalt seines Vertrauens missachtet würde und die Gefahr einer Verletzung seines konventionsrechtlichen Anspruchs auf Verteidigung durch eine Rechtsvertretung seiner Wahl besteht ( Art. 6 Ziff. 3 lit. c EMRK ; vgl. BGE 139 IV 113 E. 1.2).</w:t>
      </w:r>
    </w:p>
    <w:p>
      <w:r>
        <w:t>Ausserdem ist zu beachten, dass der Beschwerdeführer, sollte er dereinst zu den Verfahrenskosten verurteilt werden (siehe Art. 426 StPO ), durch Beschwerde gegen den Kostenentscheid vorbringen kann, die Voraussetzungen der notwendigen Verteidigung (vgl. Art. 130 StPO ) hätten nicht vorgelegen ( Art. 93 Abs. 3 BGG ).</w:t>
      </w:r>
    </w:p>
    <w:p>
      <w:r>
        <w:rPr>
          <w:b/>
        </w:rPr>
        <w:t>E. 2</w:t>
      </w:r>
    </w:p>
    <w:p>
      <w:r>
        <w:t>Auf die Beschwerde ist nicht einzutreten.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