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277/2024 vom 29. April 2024</w:t>
      </w:r>
    </w:p>
    <w:p>
      <w:r>
        <w:t>Bundesgericht, 2024-04-29, DE</w:t>
      </w:r>
    </w:p>
    <w:p>
      <w:r>
        <w:rPr>
          <w:b/>
        </w:rPr>
        <w:t xml:space="preserve">Quelle: </w:t>
      </w:r>
      <w:r>
        <w:t>https://mcp.opencaselaw.ch/entscheid/bger_7B_277_2024</w:t>
      </w:r>
    </w:p>
    <w:p>
      <w:r>
        <w:t>FR: TF 7B 277/2024 du 29 avril 2024</w:t>
      </w:r>
    </w:p>
    <w:p>
      <w:r>
        <w:t>IT: TF 7B 277/2024 del 29 aprile 2024</w:t>
      </w:r>
    </w:p>
    <w:p>
      <w:pPr>
        <w:pStyle w:val="Heading2"/>
      </w:pPr>
      <w:r>
        <w:t>Regeste</w:t>
      </w:r>
    </w:p>
    <w:p>
      <w:r>
        <w:t>Nachträgliche Anordnung einer stationären therapeutischen Massnahme; Nichteintreten | Strafrecht (allgemein)</w:t>
      </w:r>
    </w:p>
    <w:p>
      <w:pPr>
        <w:pStyle w:val="Heading2"/>
      </w:pPr>
      <w:r>
        <w:t>Erwägungen</w:t>
      </w:r>
    </w:p>
    <w:p>
      <w:r>
        <w:rPr>
          <w:b/>
        </w:rPr>
        <w:t>E. 1</w:t>
      </w:r>
    </w:p>
    <w:p>
      <w:r>
        <w:t>Mit Urteil des Bezirksgerichts Laufenburg vom 9. März 2023 wurde der Beschwerdeführer wegen Entführung und Drohung zu einer Freiheitsstrafe von 22 Monaten verurteilt. Der Vollzug dieser Freiheitsstrafe wurde zugunsten einer ambulanten psychiatrisch-psychotherapeutischen Behandlung mit einleitender stationärer Behandlung im Sinne von Art. 63 Abs. 1 und Abs. 3 StGB aufgeschoben ( Art. 63 Abs. 2 StGB ). Auf Antrag der Staatsanwaltschaft Rheinfelden-Laufenburg beschloss das Bezirksgericht am 14. November 2023, dass für die nach Aufhebung gemäss Art. 63b Abs. 2 StGB zu vollziehende Freiheitsstrafe anstelle der angeordneten ambulanten psychiatrisch-psychotherapeutischen Behandlung mit einleitender stationären Behandlung in Anwendung von Art. 63b Abs. 5 StGB neu eine stationäre therapeutische Massnahme nach Art. 59 StGB angeordnet wird. Das Obergericht des Kantons Aargau wies die hiergegen erhobene Beschwerde mit Beschluss vom 25. Januar 2024 ab, soweit es darauf eintrat.</w:t>
      </w:r>
    </w:p>
    <w:p>
      <w:r>
        <w:rPr>
          <w:b/>
        </w:rPr>
        <w:t>E. 2</w:t>
      </w:r>
    </w:p>
    <w:p>
      <w:r>
        <w:t>Der Beschwerdeführer wendet sich mit Eingabe vom 5. März 2024 gegen den obergerichtlichen Beschluss vom 25. Januar 2024 ans Bundesgericht.</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Aus der Beschwerde ergibt sich nicht, was an den vorinstanzlichen Erwägungen in tatsächlicher oder rechtlicher Hinsicht fehlerhaft sein sollte. Soweit sich die teilweise schwer nachvollziehbaren Äusserungen des Beschwerdeführers überhaupt auf den vorliegenden Verfahrensgegenstand beziehen, setzt er sich mit keinem Wort mit den Erwägungen der Vorinstanz auseinander. Dass die Vorinstanz bei ihren tatsächlichen Feststellungen in Willkür verfallen wäre und/oder beim von ihr festgestellten Sachverhalt gegen das Recht verstossen hätte, tut er nicht dar und ist auch nicht ersichtlich. Damit vermag der Beschwerdeführer den Begründungsanforderungen nicht nachzukommen. Der Begründungsmangel ist offensichtlich ( Art. 42 Abs. 2, Art. 106 Abs. 2 BGG ).</w:t>
      </w:r>
    </w:p>
    <w:p>
      <w:r>
        <w:rPr>
          <w:b/>
        </w:rPr>
        <w:t>E. 5</w:t>
      </w:r>
    </w:p>
    <w:p>
      <w:r>
        <w:t>Auf die Beschwerde ist im Verfahren nach Art. 108 BGG nicht einzutreten. Ausnahmsweise werden keine Gerichtskosten erhoben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