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7B_26/2026 vom 15. Januar 2026</w:t>
      </w:r>
    </w:p>
    <w:p>
      <w:r>
        <w:t>Bundesgericht, 2026-01-15, FR</w:t>
      </w:r>
    </w:p>
    <w:p>
      <w:r>
        <w:rPr>
          <w:b/>
        </w:rPr>
        <w:t xml:space="preserve">Quelle: </w:t>
      </w:r>
      <w:r>
        <w:t>https://mcp.opencaselaw.ch/entscheid/bger_7B_26_2026</w:t>
      </w:r>
    </w:p>
    <w:p>
      <w:r>
        <w:t>FR: TF 7B_26/2026 du 15 janvier 2026</w:t>
      </w:r>
    </w:p>
    <w:p>
      <w:r>
        <w:t>IT: TF 7B_26/2026 del 15 gennaio 2026</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 cour cantonale a déclaré irrecevable le recours du recourant parce qu'il ne remplissait pas les exigences de motivation de l' art. 385 al. 1 CPP . Elle a relevé à cet égard que le recourant se contentait d'une brève mention de l' art. 3 CEDH sans indiquer quelles infractions pénales auraient dû être examinées par le Ministère public, ni qui pourraient en être les auteurs. Elle a encore constaté que le recourant ne prétendait pas avoir subi de lésions corporelles à la suite de l'intervention d'une personne et qu'il ne fournissait pas le moindre élément à même de rendre vraisemblable qu'il aurait subi de mauvais traitements, ni que ceux-ci seraient intentionnels et atteindraient le seuil de gravité caractérisé exigé par la jurisprudence (arrêt attaqué, consid. 2.2.5).</w:t>
      </w:r>
    </w:p>
    <w:p>
      <w:r>
        <w:rPr>
          <w:b/>
        </w:rPr>
        <w:t>E. 1.3</w:t>
      </w:r>
    </w:p>
    <w:p>
      <w:r>
        <w:t>Face à cette motivation, le recourant se contente de prétendre avoir soulevé "un grief de droit (violation art. 3 CEDH ) et un grief de fait (réalité des conditions) " en citant le passage de son recours mentionné par la cour cantonale et de soutenir qu'une "subsomption juridique parfaite" ne pourrait pas être exigée d'un non-juriste. Cette brève argumentation n'est toutefois pas de nature à démontrer que les considérations de la cour cantonale précitées violeraient le droit fédéral (cf. art. 42 al. 1 et 2 LTF ) et moins encore un droit fondamental du recourant (cf. art. 106 al. 2 LTF ). On relèvera au surplus que les conclusions principales du recourant et les griefs y relatifs sont irrecevables, dès lors qu'ils relèvent du fond (cf. arrêt 7B_11/2024 du 27 juin 2025 consid. 1.3).</w:t>
      </w:r>
    </w:p>
    <w:p>
      <w:r>
        <w:rPr>
          <w:b/>
        </w:rPr>
        <w:t>E. 2</w:t>
      </w:r>
    </w:p>
    <w:p>
      <w:r>
        <w:t>L'irrecevabilité manifeste du recours doit ainsi être constatée dans la procédure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