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7B_26/2024 vom 11. März 2024</w:t>
      </w:r>
    </w:p>
    <w:p>
      <w:r>
        <w:t>Bundesgericht, 2024-03-11, DE</w:t>
      </w:r>
    </w:p>
    <w:p>
      <w:r>
        <w:rPr>
          <w:b/>
        </w:rPr>
        <w:t xml:space="preserve">Quelle: </w:t>
      </w:r>
      <w:r>
        <w:t>https://mcp.opencaselaw.ch/entscheid/bger_7B_26_2024</w:t>
      </w:r>
    </w:p>
    <w:p>
      <w:r>
        <w:t>FR: TF 7B_26/2024 du 11 mars 2024</w:t>
      </w:r>
    </w:p>
    <w:p>
      <w:r>
        <w:t>IT: TF 7B_26/2024 del 11 marzo 2024</w:t>
      </w:r>
    </w:p>
    <w:p>
      <w:pPr>
        <w:pStyle w:val="Heading2"/>
      </w:pPr>
      <w:r>
        <w:t>Erwägungen</w:t>
      </w:r>
    </w:p>
    <w:p>
      <w:r>
        <w:rPr>
          <w:b/>
        </w:rPr>
        <w:t>E. 1</w:t>
      </w:r>
    </w:p>
    <w:p>
      <w:r>
        <w:t>A.________ erstattete am 21. August 2023 Strafanzeige gegen zwei Mitglieder der Oberstaatsanwaltschaft des Kantons Aargau wegen mehrfachem Amtsmissbrauchs. Die Oberstaatsanwaltschaft teilte A.________ am 16. November 2023 mit, dass die Strafsache nicht an die Hand genommen werde. Gegen die Nichtanhandnahmeverfügung erhob A.________ Beschwerde. Mit Verfügung vom 5. Dezember 2023 forderte das Obergericht des Kantons Aargau A.________ auf, eine Sicherheit von Fr. 1'000.-- zu leisten. A.________ ersuchte am 11. Dezember 2023 um Gewährung der unentgeltlichen Rechtspflege. Am 13. Dezember 2023 wies das Obergericht das Gesuch um unentgeltliche Rechtspflege wegen Aussichtslosigkeit der Beschwerde ab.</w:t>
      </w:r>
    </w:p>
    <w:p>
      <w:r>
        <w:t>Mit Eingabe vom 9. Januar 2024 führt A.________ Beschwerde an das Bundesgericht gegen diese Verfügung. Er beantragt die Aufhebung der Verfügung sowie die Entrichtung einer angemessenen Parteientschädigung für den Aufwand "für das unnötige Gesuch um unentgeltliche Rechtspflege".</w:t>
      </w:r>
    </w:p>
    <w:p>
      <w:r>
        <w:t>Vernehmlassungen wurden keine eingeholt.</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3</w:t>
      </w:r>
    </w:p>
    <w:p>
      <w:r>
        <w:t>Angefochten ist die Abweisung des Gesuchs um unentgeltliche Rechtspflege. Das Obergericht hat im angefochtenen Entscheid das Gesuch abgewiesen mit der Begründung, die Beschwerde sei bei summarischer Prüfung aussichtslos. Der Beschwerdeführer legt nicht nachvollziehbar dar, inwiefern das Obergericht mit diesem Vorgehen Bundesrecht verletzt haben könnte. Dies ist auch nicht ersichtlich. Dass der Beschwerdeführer sein "Befremden über die Arbeitsweise des Obergerichts" zum Ausdruck bringen wolle und "die ganze Verfügung unnötige Arbeit sei", ändert daran ebenso wenig, wie seine Behauptung, die Ausführungen der Vorinstanz betreffend Erfolgsaussichten hätten sich erübrigt, da es an einer zivilen Privatklägerschaft mangle, von welcher eine Sicherheitsleistung verlangt werden könne. Auf die Beschwerde ist wegen Verletzung der gesetzlichen Begründungspflicht nicht einzutreten.</w:t>
      </w:r>
    </w:p>
    <w:p>
      <w:r>
        <w:rPr>
          <w:b/>
        </w:rPr>
        <w:t>E. 4</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