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7B_269/2024 vom 9. Juli 2024</w:t>
      </w:r>
    </w:p>
    <w:p>
      <w:r>
        <w:t>Bundesgericht, 2024-07-09, DE</w:t>
      </w:r>
    </w:p>
    <w:p>
      <w:r>
        <w:rPr>
          <w:b/>
        </w:rPr>
        <w:t xml:space="preserve">Quelle: </w:t>
      </w:r>
      <w:r>
        <w:t>https://mcp.opencaselaw.ch/entscheid/bger_7B_269_2024</w:t>
      </w:r>
    </w:p>
    <w:p>
      <w:r>
        <w:t>FR: TF 7B_269/2024 du 9 juillet 2024</w:t>
      </w:r>
    </w:p>
    <w:p>
      <w:r>
        <w:t>IT: TF 7B_269/2024 del 9 luglio 2024</w:t>
      </w:r>
    </w:p>
    <w:p>
      <w:pPr>
        <w:pStyle w:val="Heading2"/>
      </w:pPr>
      <w:r>
        <w:t>Erwägungen</w:t>
      </w:r>
    </w:p>
    <w:p>
      <w:r>
        <w:rPr>
          <w:b/>
        </w:rPr>
        <w:t>E. 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unter den nachfolgenden Einschränkungen auf die Beschwerde einzutreten ist.</w:t>
      </w:r>
    </w:p>
    <w:p>
      <w:r>
        <w:rPr>
          <w:b/>
        </w:rPr>
        <w:t>E. 2</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Die Vorinstanz bejaht sowohl das Vorliegen eines dringenden Tatverdachts als auch des besonderen Haftgrunds der Wiederholungsgefahr. Sodann beurteilt sie die Haft als verhältnismässig, da namentlich noch keine Überhaft drohe.</w:t>
      </w:r>
    </w:p>
    <w:p>
      <w:r>
        <w:rPr>
          <w:b/>
        </w:rPr>
        <w:t>E. 3</w:t>
      </w:r>
    </w:p>
    <w:p>
      <w:r>
        <w:t>Der Beschwerdeführer bestreitet in erster Linie das Vorliegen eines dringenden Tatverdachts.</w:t>
      </w:r>
    </w:p>
    <w:p>
      <w:r>
        <w:rPr>
          <w:b/>
        </w:rPr>
        <w:t>E. 3.1</w:t>
      </w:r>
    </w:p>
    <w:p>
      <w:r>
        <w:t>Bei der Überprüfung des allgemeinen Haftgrunds des dringenden Tatverdachts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ist weder ein eigentliches Beweisverfahren durchzuführen noch dem erkennenden Strafgericht vorzugreifen ( BGE 143 IV 316 E. 3.1; 330 E. 2.1; je mit Hinweisen).</w:t>
      </w:r>
    </w:p>
    <w:p>
      <w:r>
        <w:rPr>
          <w:b/>
        </w:rPr>
        <w:t>E. 3.2</w:t>
      </w:r>
    </w:p>
    <w:p>
      <w:r>
        <w:t>Die Vorinstanz gelangt nach eingehender Würdigung der Einvernahmen des Beschwerdeführers, des mutmasslichen Opfers, der befragten Zeugen sowie der weiteren Beweismittel zum Ergebnis, es liege ein dringender Tatverdacht hinsichtlich der versuchten schweren Körperverletzung (Art. 122 i.V.m. Art. 22 StGB ) vor. Dabei beurteilt sie namentlich die Glaubwürdigkeit der sich teils widersprechenden Aussagen und schliesst daraus, es müsse insbesondere davon ausgegangen werden, dass der Beschwerdeführer das mutmassliche Opfer geschlagen und mit Fusstritten gegen den Kopf traktiert habe (siehe E. 6 des angefochtenen Entscheids).</w:t>
      </w:r>
    </w:p>
    <w:p>
      <w:r>
        <w:t>Der anwaltlich vertretene Beschwerdeführer setzt sich kaum mit den detaillierten Erwägungen der Vorinstanz auseinander, sondern stellt diesen primär seine eigene Version des Sachverhalts respektive Würdigung der Beweismittel gegenüber. Insbesondere behauptet er, sowohl das von der Vorinstanz als grundsätzlich glaubwürdig eingestufte mutmassliche Opfer als auch die weiteren Belastungszeugen würden offensichtlich nicht die Wahrheit sagen und ihn zu Unrecht beschuldigen.</w:t>
      </w:r>
    </w:p>
    <w:p>
      <w:r>
        <w:rPr>
          <w:b/>
        </w:rPr>
        <w:t>E. 3.3</w:t>
      </w:r>
    </w:p>
    <w:p>
      <w:r>
        <w:t>Der Beschwerdeführer verkennt indessen, dass die vorinstanzliche Sachverhaltsfeststellung und Beweiswürdigung vor Bundesgericht nur gerügt werden kann,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148 IV 39 E. 2.3.5).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je mit Hinweisen). Für die Willkürrüge gelten erhöhte Begründungsanforderungen ( Art. 97 Abs. 1 und Art. 106 Abs. 2 BGG ). Es genügt daher nicht - wie dies vorliegend der Fall ist -, einen von den tatsächlichen Feststellungen der Vorinstanz abweichenden Sachverhalt zu behaupten oder die eigene Beweiswürdigung zu erläutern ( BGE 148 V 366 E. 3.3; 137 II 353 E. 5.1). Auf die ungenügend begründeten Rüge und überwiegend appellatorische Kritik am angefochtenen Entscheid und der vorinstanzlichen Beweiswürdigung ist daher nicht weiter einzugehen ( BGE 148 IV 356 E. 2.1; 148 IV 205 E. 2.6; 146 IV 88 E. 1.3.1; je mit Hinweisen) und es kann vollumfänglich auf den angefochtenen Entscheid verwiesen werden (vgl. Art. 109 Abs. 3 BGG ).</w:t>
      </w:r>
    </w:p>
    <w:p>
      <w:r>
        <w:rPr>
          <w:b/>
        </w:rPr>
        <w:t>E. 3.4</w:t>
      </w:r>
    </w:p>
    <w:p>
      <w:r>
        <w:t>Der Beschwerdeführer bringt in diesem Zusammenhang zusätzlich vor, die Haft sei unverhältnismässig. Seine diesbezügliche Argumentation erschöpft sich indessen in der Rüge, mangels drohender Verurteilung wegen versuchter schwerer Körperverletzung liege Überhaft vor. Auf diese erneute Kritik am Vorliegen eines dringenden Tatverdachts wegen versuchter schwerer Körperverletzung ist auch in diesem Kontext nicht einzugehen und es kann vollumfänglich auf die entsprechenden Ausführungen der Vorinstanz verwiesen werden (siehe E. 3.3. hiervor).</w:t>
      </w:r>
    </w:p>
    <w:p>
      <w:r>
        <w:rPr>
          <w:b/>
        </w:rPr>
        <w:t>E. 4</w:t>
      </w:r>
    </w:p>
    <w:p>
      <w:r>
        <w:t>Der Beschwerdeführer bestreitet weiter den von der Vorinstanz festgestellten besonderen Haftgrund der Wiederholungsgefahr.</w:t>
      </w:r>
    </w:p>
    <w:p>
      <w:r>
        <w:t>Auch diesbezüglich begnügt er sich indessen damit, seine eigene Sicht der Dinge darzulegen, wonach er ausserhalb des Gefängnisses noch nie Probleme mit Personen gehabt habe, die ihn nicht provoziert und demnach in Frieden gelassen hätten. Auf die Ausführungen der Vorinstanz, welche sich namentlich auf ein forensisch-psychiatrisches Gutachten vom 30. August 2022 bezieht (siehe E. 8 des angefochtenen Entscheids), geht der Beschwerdeführer dagegen nicht ein. Letzteres wurde im Zusammenhang mit einem weiteren gegen ihn geführten Strafverfahren wegen versuchter schwerer Körperverletzung erstellt und attestiert ihm ein Rückfallrisiko von nahezu 100 % für Delikte wie Drohungen und einfache Körperverletzung sowie ein erhöhtes bzw. mittelhohes Risiko für schwere Gewaltdelinquenz. Die Beschwerde ist demnach auch diesbezüglich unbegründet, soweit sie überhaupt den Ansprüchen an die Begründung im bundesgerichtlichen Beschwerdeverfahren gerecht wird (vgl. Art. 42 Abs. 2 BGG ).</w:t>
      </w:r>
    </w:p>
    <w:p>
      <w:r>
        <w:rPr>
          <w:b/>
        </w:rPr>
        <w:t>E. 5</w:t>
      </w:r>
    </w:p>
    <w:p>
      <w:r>
        <w:t>Die Beschwerde erweist sich als offensichtlich unbegründet, weshalb sie im vereinfachten Verfahren nach Art. 109 Abs. 2 lit. a BGG abzuweisen ist, soweit darauf einzutreten ist.</w:t>
      </w:r>
    </w:p>
    <w:p>
      <w:r>
        <w:t>Bei diesem Verfahrensausgang ist der Beschwerdeführer kostenpflichtig ( Art. 66 Abs. 1 BGG ). Er beantragt die Gewährung der unentgeltlichen Rechtspflege und Rechtsverbeiständung für das Verfahren vor Bundesgericht. Deren Gewährung setzt jedoch insbesondere voraus, dass die gestellten Rechtsbegehren nicht aussichtslos erscheinen ( Art. 64 Abs. 1 BGG ). Diese Voraussetzung ist vorliegend nicht erfüllt, weshalb das Gesuch um Gewährung der unentgeltlichen Rechtspflege und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