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7B_265/2023 vom 18. August 2023</w:t>
      </w:r>
    </w:p>
    <w:p>
      <w:r>
        <w:t>Bundesgericht, 2023-08-18, FR</w:t>
      </w:r>
    </w:p>
    <w:p>
      <w:r>
        <w:rPr>
          <w:b/>
        </w:rPr>
        <w:t xml:space="preserve">Quelle: </w:t>
      </w:r>
      <w:r>
        <w:t>https://mcp.opencaselaw.ch/entscheid/bger_7B_265_2023</w:t>
      </w:r>
    </w:p>
    <w:p>
      <w:r>
        <w:t>FR: TF 7B_265/2023 du 18 août 2023</w:t>
      </w:r>
    </w:p>
    <w:p>
      <w:r>
        <w:t>IT: TF 7B_265/2023 del 18 agosto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le recourant indique s'être réservé, dans sa plainte pénale du 5 septembre 2022, le droit de réclamer à l'intimée une indemnité en réparation de son tort moral. Il allègue que l'activité délictueuse de l'intimée n'aurait pas été limitée à une simple atteinte à l'honneur, mais qu'il s'agirait d'une "entreprise visant à véritablement porter préjudice à [sa] personnalité". Selon lui, les agissements de l'intimée auraient eu des conséquences sur sa santé psychique. Ainsi, souffrant d'une forme de dépression, il ne se sentirait plus "bien" dans son lieu de domicile, au point qu'il aurait décidé de "changer de domicile principal", en raison de la situation devenue insupportable. Il estime donc avoir des conclusions civiles à faire valoir contre l'intimée, quand bien même il ne serait pas en mesure de les chiffrer.</w:t>
      </w:r>
    </w:p>
    <w:p>
      <w:r>
        <w:rPr>
          <w:b/>
        </w:rPr>
        <w:t>E. 1.3</w:t>
      </w:r>
    </w:p>
    <w:p>
      <w:r>
        <w:t>Ce faisant, le recourant ne s'exprime, à satisfaction de droit, ni sur le principe ni sur la quotité d'un éventuel tort moral ou dommage qu'il aurait subi en raison des infractions dénoncées dans sa plainte du 5 septembre 2022. Il ne rend pas vraisemblable que des actes de diffamation et de calomnie lui auraient causé des atteintes psychiques et ne chiffre pas, même de manière grossière, le tort moral qu'il entendrait réclamer. Le recourant ne livre par ailleurs aucune explication sur les raisons qui l'empêcheraient, plus d'une année après les faits dénoncés, de motiver plus avant ses éventuelles prétentions civiles, respectivement de les chiffrer. Sa motivation sur la question des prétentions civiles, manifestement insuffisante, exclut dès lors sa qualité pour recourir sur le fond de la cause.</w:t>
      </w:r>
    </w:p>
    <w:p>
      <w:r>
        <w:rPr>
          <w:b/>
        </w:rPr>
        <w:t>E. 2</w:t>
      </w:r>
    </w:p>
    <w:p>
      <w:r>
        <w:t>L'hypothèse visée à l'art. 81 al. 1 let. b ch. 6 LTF n'entre pas non plus en considération. Les seuls griefs que le recourant soulève à cet égard ne concernent pas la présente cause. Ils visent une précédente plainte pénale qui avait été jugée tardive par l'autorité précédente, étant observé que cette dernière a en l'occurrence laissé ouverte la question de savoir si la plainte du 5 septembre 2022 était abusive.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w:t>
      </w:r>
    </w:p>
    <w:p>
      <w:r>
        <w:t>En tant que le recourant se plaint d'une violation de son droit d'être entendu en lien avec un défaut de motivation, il ne démontre pas, et on ne voit pas, en quoi les carences invoquées seraient propres à constituer un déni de justice formel. Le moyen n'est ainsi pas séparé du fond. Il en va finalement de même de toute critique en lien avec le refus du Ministère public de donner suite à ses réquisitions de preuve.</w:t>
      </w:r>
    </w:p>
    <w:p>
      <w:r>
        <w:rPr>
          <w:b/>
        </w:rPr>
        <w:t>E. 4</w:t>
      </w:r>
    </w:p>
    <w:p>
      <w:r>
        <w:t>L'irrecevabilité manifeste du recours doit dès lors être constatée dans la procédure prévue par l' art. 108 al. 1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