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7B_264/2025 vom 24. Juni 2025</w:t>
      </w:r>
    </w:p>
    <w:p>
      <w:r>
        <w:t>Bundesgericht, 2025-06-24, DE</w:t>
      </w:r>
    </w:p>
    <w:p>
      <w:r>
        <w:rPr>
          <w:b/>
        </w:rPr>
        <w:t xml:space="preserve">Quelle: </w:t>
      </w:r>
      <w:r>
        <w:t>https://mcp.opencaselaw.ch/entscheid/bger_7B_264_2025</w:t>
      </w:r>
    </w:p>
    <w:p>
      <w:r>
        <w:t>FR: TF 7B_264/2025 du 24 juin 2025</w:t>
      </w:r>
    </w:p>
    <w:p>
      <w:r>
        <w:t>IT: TF 7B_264/2025 del 24 giugno 2025</w:t>
      </w:r>
    </w:p>
    <w:p>
      <w:pPr>
        <w:pStyle w:val="Heading2"/>
      </w:pPr>
      <w:r>
        <w:t>Erwägungen</w:t>
      </w:r>
    </w:p>
    <w:p>
      <w:r>
        <w:rPr>
          <w:b/>
        </w:rPr>
        <w:t>E. 1</w:t>
      </w:r>
    </w:p>
    <w:p>
      <w:r>
        <w:t>Die Beschwerdeführerin zeigte am 12. Mai 2023 Mitglieder sowie IT-Beauftragte und weitere Verantwortliche des Gewerbevereins B.________ an. Am 22. November 2024 verfügte die Staatsanwaltschaft Schwyz die Nichtanhandnahme der Strafuntersuchung. Auf die gegen diese Verfügung beim Kantonsgericht Schwyz erhobene Beschwerde wurde mit Verfügung vom 12. Februar 2025 nicht eingetreten. Dagegen gelangt die Beschwerdeführerin mit Beschwerde in Strafsachen vom 24. März 2025 (elektronische Einreichung) an das Bundesgericht.</w:t>
      </w:r>
    </w:p>
    <w:p>
      <w:r>
        <w:rPr>
          <w:b/>
        </w:rPr>
        <w:t>E. 2</w:t>
      </w:r>
    </w:p>
    <w:p>
      <w:r>
        <w:t>Gegenstand des bundesgerichtlichen Verfahrens ist ausschliesslich die angefochtene Verfügungen des Kantonsgerichts vom 12. Februar 2025 (vgl. Art. 80 Abs. 1, Art. 90 BGG ). Soweit die Beschwerdeführerin mehr verlangt oder thematisiert, als von der Vorinstanz beurteilt wurde, ist darauf von vornherein nicht einzutreten ( BGE 142 I 155 E. 4.4.2; 136 II 457 E. 4.2; 136 V 362 E. 3.4.2).</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rPr>
          <w:b/>
        </w:rPr>
        <w:t>E. 4</w:t>
      </w:r>
    </w:p>
    <w:p>
      <w:r>
        <w:t>Die Eingabe äussert sich nicht zur Frage der Legitimation oder eines möglichen Zivilanspruchs gemäss Art. 81 Abs. 1 lit. b Ziff. 5 BGG. Bereits daher ist nicht auf die Beschwerde einzutreten. Im Übrigen wird nicht dargelegt, inwiefern die angefochtene Verfügung in tatsächlicher oder rechtlicher Hinsicht fehlerhaft sein soll. Die Eingabe enthält keine über appellatorische Kritik hinausgehende Auseinandersetzung mit den rechtserheblichen Erwägungen der Vorinstanz. Damit genügt die Beschwerde auch diesbezüglich nicht den gesetzlichen Anforderungen an die Begründung.</w:t>
      </w:r>
    </w:p>
    <w:p>
      <w:r>
        <w:rPr>
          <w:b/>
        </w:rPr>
        <w:t>E. 5</w:t>
      </w:r>
    </w:p>
    <w:p>
      <w:r>
        <w:t>Formelle Rügen, zu deren Geltendmachung die Beschwerdeführerin unbesehen von der fehlenden Legitimation in der Sache befugt wäre, da sie namentlich von der Prüfung der Sache getrennt werden können (sog. "Star-Praxis"; vgl. BGE 146 IV 76 E. 2; 141 IV 1 E. 1.1), erhebt sie nicht.</w:t>
      </w:r>
    </w:p>
    <w:p>
      <w:r>
        <w:rPr>
          <w:b/>
        </w:rPr>
        <w:t>E. 6</w:t>
      </w:r>
    </w:p>
    <w:p>
      <w:r>
        <w:t>Auf die Beschwerde ist im Verfahren nach Art. 108 BGG nicht einzutreten. Die Gerichtskosten sind der Beschwerdeführerin aufzuerlegen ( Art. 66 Abs. 1 BGG ). Das Gesuch um unentgeltliche Rechtspflege ist wegen offensichtlicher Aussichtslosigkeit der Begehren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