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7B_260/2024 vom 5. August 2025</w:t>
      </w:r>
    </w:p>
    <w:p>
      <w:r>
        <w:t>Bundesgericht, 2025-08-05, FR</w:t>
      </w:r>
    </w:p>
    <w:p>
      <w:r>
        <w:rPr>
          <w:b/>
        </w:rPr>
        <w:t xml:space="preserve">Quelle: </w:t>
      </w:r>
      <w:r>
        <w:t>https://mcp.opencaselaw.ch/entscheid/bger_7B_260_2024</w:t>
      </w:r>
    </w:p>
    <w:p>
      <w:r>
        <w:t>FR: TF 7B_260/2024 du 5 août 2025</w:t>
      </w:r>
    </w:p>
    <w:p>
      <w:r>
        <w:t>IT: TF 7B_260/2024 del 5 agosto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attaqué est une décision finale (cf. art. 90 LTF ) qui a été rendue dans une cause pénale par une autorité cantonale de dernière instance (cf. art. 80 al. 1 LTF ). Il est donc susceptible de faire l'objet d'un recours en matière pénale (cf. art. 78 ss LTF ).</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1.3.1</w:t>
      </w:r>
    </w:p>
    <w:p>
      <w:r>
        <w:t>Constituent des prétentions civiles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Les prétentions fondées sur le droit public n'appartiennent en revanche pas à cette catégorie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arrêt 7B_589/2023 du 26 mai 2025 consid. 1.2.1).</w:t>
      </w:r>
    </w:p>
    <w:p>
      <w:r>
        <w:t>Le droit d'un proche au sens de l' art. 116 al. 2 CPP de se constituer partie plaignante implique qu'il fasse valoir des prétentions civiles propres (cf. art. 117 al. 3 et 122 al. 2 CPP).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 ATF 139 IV 89 consid. 2.2; arrêt 7B_76/2022 du 19 juillet 2024 consid. 1.3).</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 7B_456/2024 du 19 mai 2025 consid. 1.2.2 et les références cités). Le Tribunal fédéral pose des exigences strictes de motivation de la qualité pour recourir (cf. art. 42 al. 2 LTF ; ATF 147 IV 453 consid. 1.4.8; 141 IV 1 consid. 1.1).</w:t>
      </w:r>
    </w:p>
    <w:p>
      <w:r>
        <w:rPr>
          <w:b/>
        </w:rPr>
        <w:t>E. 1.3.2</w:t>
      </w:r>
    </w:p>
    <w:p>
      <w:r>
        <w:t>En l'occurrence, les recourants prétendent que le décès de leur épouse respectivement mère devrait être qualifié d'homicide par négligence au sens de l' art. 117 CP . Selon eux, il aurait été causé par une violation du devoir de prudence incombant à un ou plusieurs membres du personnel du centre où celle-ci était hospitalisée. Ils soutiennent que la commission de cette infraction leur aurait causé un dommage et un tort moral dont ils pourraient requérir la réparation directement auprès de membres du personnel soignant du centre hospitalier en application des art. 41 ss CO : selon eux, la responsabilité de droit public de ce centre ne serait pas exclusive parce que l'art. 11.10.2 de la Convention collective de travail hôpitaux et cliniques bernois du 1er janvier 2018 prévoirait que les collaborateurs du centre pourraient être rendus responsables de dommages dus à une faute grave, notamment en raison d'actes commis intentionnellement (recours, p. 2 s.).</w:t>
      </w:r>
    </w:p>
    <w:p>
      <w:r>
        <w:rPr>
          <w:b/>
        </w:rPr>
        <w:t>E. 1.3.3</w:t>
      </w:r>
    </w:p>
    <w:p>
      <w:r>
        <w:t>Cette argumentation tombe toutefois d'emblée à faux. En effet, les recourants ne sauraient déduire d'une convention collective de travail, à laquelle ils ne sont pas partie (cf. art. 356 CO ; ATF 139 III 60 consid. 5.1), une exception à la responsabilité de droit public exclusive prévue par le droit bernois pour le dommage causé illicitement par les employés de l'État et des organisations extérieures à l'administration cantonale chargées d'accomplir des tâches publiques dans l'exécution de leurs fonctions (cf. 61 al. 1 CO et art. 100 ss de la loi bernoise sur le personnel du 16 septembre 2004 [LPers/BE; RS/BE 153.01]; Jürg Wichtermann, Staatshaftungsrecht,</w:t>
      </w:r>
    </w:p>
    <w:p>
      <w:r>
        <w:t>in Markus Müller/Reto Feller (éd.), Bernisches Verwaltungsrecht, 3e éd., Berne 2021, p. 127 ss n o 47 ss; Yves Donzallaz, Traité de droit médical, Vol. II: Le médecin et les soignants, Berne 2021, n o 4433; arrêts 7B_1084/2024 du 8 janvier 2025 consid. 1.2.2; 6B_846/2022 du 12 septembre 2022 consid. 5; 4A_18/2015 du 22 septembre 2015 consid. 2.1; 1B_491/2012 du 30 novembre 2012 consid. 2.5.4). Les recourants n'allèguent en outre pas, ni a fortiori ne démontrent, que le centre hospitalier au sein duquel leur épouse respectivement mère a été hospitalisée - soit un centre hospitalier régional géré sous forme de société anonyme dont le canton détient la majorité du capital et des voix conformément aux art. 19 et 21 de la loi bernoise sur les soins hospitaliers du 13 juin 2013 (LSH/BE; RS/BE 812.11) dont le but principal est d'assurer la couverture de la population du canton en soins hospitaliers et en prestations de sauvetage (art. 1 al. 1 LSH/BE) - ne serait pas une organisation chargée d'accomplir une tâche publique au sens de l' art. 101 al. 1 LPers /BE, ni que la prise en charge de leur épouse et mère au sein de cet établissement ne relèverait pas de l'exécution d'une telle tâche (cf. arrêt 1B_491/2012 du 30 novembre 2012 consid. 2.5.3 et 2.5.5; Jürg Wichtermann, op. cit., p. 129 s. n o 50 ss et 62 s.).</w:t>
      </w:r>
    </w:p>
    <w:p>
      <w:r>
        <w:rPr>
          <w:b/>
        </w:rPr>
        <w:t>E. 1.3.4</w:t>
      </w:r>
    </w:p>
    <w:p>
      <w:r>
        <w:t>Au vu de ce qui précède, les recourants n'ont pas démontré, conformément aux exigences strictes de motivation leur incombant, être titulaires de prétentions civiles. Ils ne disposent ainsi pas de la qualité pour recourir en application de l'art. 81 al. 1 let. a et b ch. 5 LTF.</w:t>
      </w:r>
    </w:p>
    <w:p>
      <w:r>
        <w:rPr>
          <w:b/>
        </w:rPr>
        <w:t>E. 1.4</w:t>
      </w:r>
    </w:p>
    <w:p>
      <w:r>
        <w:t>L'hypothèse visée à l'art. 81 al. 1 let. b ch. 6 LTF n'entre en l'occurrence pas en considération, dès lors que les recourants ne soulèvent aucun grief quant à leur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arrêt 7B_131/2025 du 6 juin 2025 consid. 1.4).</w:t>
      </w:r>
    </w:p>
    <w:p>
      <w:r>
        <w:t>En l'occurrence, les recourants se plaignent d'arbitraire dans l'appréciation des preuves ainsi que d'une violation de leur droit d'être entendus (recours, p. 7 à 9). Toutefois, ces griefs sont indissociables du fond, raison pour laquelle les recourants n'ont pas non plus la qualité pour recourir sous cet angle. Leur grief d'arbitraire vise en effet à critiquer les considérations de la cour cantonale relatives à l'absence de lien de causalité naturelle et adéquate entre les actes du personnel soignant du centre hospitalier et le décès de leur épouse respectivement mère. Quant à leur grief de violation du droit d'être entendu, il se confond avec une critique relative à l'administration des preuves (cf. à ce sujet arrêt 7B_901/2023 du 11 novembre 2024 consid. 3.2.1 et les références citées) et tend à démontrer que ce serait à tort que le Ministère public n'aurait pas exigé la production du dossier médical en lien avec la "phase préopératoire", alors que celui-ci aurait selon eux pu "jouer un rôle décisif quant à l'issue de la procédure pénale" (recours, p. 9).</w:t>
      </w:r>
    </w:p>
    <w:p>
      <w:r>
        <w:rPr>
          <w:b/>
        </w:rPr>
        <w:t>E. 2</w:t>
      </w:r>
    </w:p>
    <w:p>
      <w:r>
        <w:t>Faute de qualité pour recourir, le recours doit être déclaré irrecevable.</w:t>
      </w:r>
    </w:p>
    <w:p>
      <w:r>
        <w:t>Les recourants, qui succombent, supporteront les frais judiciaires, solidairement entre eux (art. 65 al. 2 et 66 al. 1 et 5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