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7B_258/2025 vom 11. April 2025</w:t>
      </w:r>
    </w:p>
    <w:p>
      <w:r>
        <w:t>Bundesgericht, 2025-04-11, DE</w:t>
      </w:r>
    </w:p>
    <w:p>
      <w:r>
        <w:rPr>
          <w:b/>
        </w:rPr>
        <w:t xml:space="preserve">Quelle: </w:t>
      </w:r>
      <w:r>
        <w:t>https://mcp.opencaselaw.ch/entscheid/bger_7B_258_2025</w:t>
      </w:r>
    </w:p>
    <w:p>
      <w:r>
        <w:t>FR: TF 7B_258/2025 du 11 avril 2025</w:t>
      </w:r>
    </w:p>
    <w:p>
      <w:r>
        <w:t>IT: TF 7B_258/2025 del 11 aprile 2025</w:t>
      </w:r>
    </w:p>
    <w:p>
      <w:pPr>
        <w:pStyle w:val="Heading2"/>
      </w:pPr>
      <w:r>
        <w:t>Erwägungen</w:t>
      </w:r>
    </w:p>
    <w:p>
      <w:r>
        <w:rPr>
          <w:b/>
        </w:rPr>
        <w:t>E. 1</w:t>
      </w:r>
    </w:p>
    <w:p>
      <w:r>
        <w:t>Mit Schreiben vom 9. September 2024 erstattete A.________ (nachfolgend: der Beschwerdeführer) Strafanzeige wegen unterlassener Hilfeleistung, Drohung, versuchter Körperverletzung und Nötigung. Er machte zusammengefasst geltend, dass er am 27. August 2024 um ca. 20.00 Uhr von einem Unbekannten am Bahnhof in U.________ bedroht worden sei. Der Unbekannte habe ihn auch schon früher bedroht und geschlagen, wobei eine entsprechende Strafanzeige erfolglos geblieben sei. Am 27. August 2024 sei der Unbekannte ihm drohend in den Bus gefolgt, wo dieser ihn weiter gestikulierend bedroht und den Bus wieder verlassen habe, als dieser habe fahren wollen. Weder der Busfahrer noch der Angestellte des Migrolino in U.________ hätten seiner Bitte, die Polizei anzurufen, nachkommen wollen. Als er danach wieder zu Hause gewesen sei, habe er um 20.58 und 20.59 Uhr den Notruf 117 gewählt, weil er noch habe rausgehen wollen und damit gerechnet habe, am Bahnhof U.________ wieder auf den Unbekannten zu treffen, der es sich dort gemütlich gemacht habe. Bei der 117 habe man ihm aber gesagt, dass man niemanden zur Verfügung stellen könne (bzw. wolle). Da er vergessen habe, den Namen dieser Dame am Telefon zu erfragen, habe er nochmals die Notrufnummer 117 angerufen, aber auch diese Dame, Frau B.________, habe ihm in der Sache und auch bezüglich des Namens der Kollegin nicht weiterhelfen wollen.</w:t>
      </w:r>
    </w:p>
    <w:p>
      <w:r>
        <w:t>Mit Verfügung vom 1. Oktober 2024 nahm die Staatsanwaltschaft See/Oberland die Strafuntersuchung gegen Frau B.________, den Angestellten bei der Tankstelle U.________ und gegen unbekannt nicht anhand. Die dagegen gerichtete Beschwerde wies das Obergerichts des Kantons Zürich mit Beschluss vom 6. Februar 2025 ab. Der Beschwerdeführer wendet sich ans Bundesgericht.</w:t>
      </w:r>
    </w:p>
    <w:p>
      <w:r>
        <w:rPr>
          <w:b/>
        </w:rPr>
        <w:t>E. 2</w:t>
      </w:r>
    </w:p>
    <w:p>
      <w:r>
        <w:t>Die Vorinstanz legt dar, dass und inwiefern die Nichtanhandnahmeverfügung der Staatsanwaltschaft sich als rechtmässig erweise.</w:t>
      </w:r>
    </w:p>
    <w:p>
      <w:r>
        <w:rPr>
          <w:b/>
        </w:rPr>
        <w:t>E. 3.1</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machenden Ansprüchen, in erster Linie solche auf Schadenersatz und Genugtuung nach Art. 41 ff. OR ( BGE 146 IV 76 E. 3.1; 141 IV 1 E. 1.1; Urteil 6B_562/2021 vom 7. April 2022 E. 1.1, nicht publ. in: BGE 148 IV 170 ).</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 siehe auch Urteile 7B_588/2023 vom 10. Dezember 2024 E. 1.3.1; 7B_566/2023 vom 14. Mai 2024 E. 1.2.1; je mit Hinweisen).</w:t>
      </w:r>
    </w:p>
    <w:p>
      <w:r>
        <w:rPr>
          <w:b/>
        </w:rPr>
        <w:t>E. 3.2</w:t>
      </w:r>
    </w:p>
    <w:p>
      <w:r>
        <w:t>Der Beschwerdeführer äussert sich mit keinem Wort zu seiner Legitimation als Privatkläger im Sinne von Art. 81 Abs. 1 lit. b Ziff. 5 BGG und zur Frage der Zivilforderung. So legt er nicht dar, aus welchen Gründen und inwiefern sich der angefochtene Beschluss auf welchen konkreten Zivilanspruch auswirken sollte. Damit kommt der Beschwerdeführer den Begründungsanforderungen nicht nach.</w:t>
      </w:r>
    </w:p>
    <w:p>
      <w:r>
        <w:rPr>
          <w:b/>
        </w:rPr>
        <w:t>E. 3.3</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 Solche Rügen erhebt der Beschwerdeführer keine.</w:t>
      </w:r>
    </w:p>
    <w:p>
      <w:r>
        <w:rPr>
          <w:b/>
        </w:rPr>
        <w:t>E. 4</w:t>
      </w:r>
    </w:p>
    <w:p>
      <w:r>
        <w:t>Auf die Beschwerde ist im Verfahren nach Art. 108 BGG nicht einzutreten.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