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7B_258/2024 vom 8. April 2024</w:t>
      </w:r>
    </w:p>
    <w:p>
      <w:r>
        <w:t>Bundesgericht, 2024-04-08, DE</w:t>
      </w:r>
    </w:p>
    <w:p>
      <w:r>
        <w:rPr>
          <w:b/>
        </w:rPr>
        <w:t xml:space="preserve">Quelle: </w:t>
      </w:r>
      <w:r>
        <w:t>https://mcp.opencaselaw.ch/entscheid/bger_7B_258_2024</w:t>
      </w:r>
    </w:p>
    <w:p>
      <w:r>
        <w:t>FR: TF 7B_258/2024 du 8 avril 2024</w:t>
      </w:r>
    </w:p>
    <w:p>
      <w:r>
        <w:t>IT: TF 7B_258/2024 del 8 aprile 2024</w:t>
      </w:r>
    </w:p>
    <w:p>
      <w:pPr>
        <w:pStyle w:val="Heading2"/>
      </w:pPr>
      <w:r>
        <w:t>Erwägungen</w:t>
      </w:r>
    </w:p>
    <w:p>
      <w:r>
        <w:rPr>
          <w:b/>
        </w:rPr>
        <w:t>E. 1</w:t>
      </w:r>
    </w:p>
    <w:p>
      <w:r>
        <w:t>Mit Verfügung vom 3. April 2023 nahm die Staatsanwaltschaft Winterthur eine Strafuntersuchung gegen die Verwaltung einer von A.________ gemieteten Wohnung, betreffend "versuchter Totschlag, Unwahrheiten, Verleumdung, Pflichtverletzung und Drohung" nicht an die Hand. Dagegen erhob A.________ Beschwerde. In der Folge forderte der Präsident der III. Strafkammer des Obergerichts des Kantons Zürich A.________ mit Verfügung vom 16. Februar 2024 auf, gemäss Art. 383 Abs. 1 StPO eine Sicherheit von Fr. 1'800.-- zu leisten, andernfalls gestützt auf Art. 383 Abs. 2 StPO auf die Beschwerde nicht eingetreten werde.</w:t>
      </w:r>
    </w:p>
    <w:p>
      <w:r>
        <w:t>Mit Eingabe vom 2. März 2024 erhebt A.________ sinngemäss Beschwerde in Strafsachen an das Bundesgericht und bittet "um Prüfung". Vernehmlassungen wurden keine eingeholt.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t>Die Beschwerdeführerin beschränkt sich darauf, zu "bestätigen", dass sie keine finanziellen Mittel habe, um die Prozesskaution zu bezahlen und bittet "um Prüfung". Damit vermag sie indessen nicht rechtsgenüglich aufzuzeigen, inwiefern die angefochtene Verfügung rechtswidrig sein sollte. Dies ist auch nicht ersichtlich. Die Beschwerde genügt den gesetzlichen Formerfordernissen offensichtlich nicht. Auf die Beschwerde ist daher im Verfahren nach Art. 108 BGG nicht einzutreten.</w:t>
      </w:r>
    </w:p>
    <w:p>
      <w:r>
        <w:rPr>
          <w:b/>
        </w:rPr>
        <w:t>E. 3</w:t>
      </w:r>
    </w:p>
    <w:p>
      <w:r>
        <w:t>Bei diesem Verfahrensausgang sind die Gerichtskosten grundsätzlich der Beschwerdeführerin aufzuerlegen ( Art. 66 Abs. 1 BGG ). Ausnahmsweise ist jedoch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