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7B_256/2022 vom 28. September 2023</w:t>
      </w:r>
    </w:p>
    <w:p>
      <w:r>
        <w:t>Bundesgericht, 2023-09-28, DE</w:t>
      </w:r>
    </w:p>
    <w:p>
      <w:r>
        <w:rPr>
          <w:b/>
        </w:rPr>
        <w:t xml:space="preserve">Quelle: </w:t>
      </w:r>
      <w:r>
        <w:t>https://mcp.opencaselaw.ch/entscheid/bger_7B_256_2022</w:t>
      </w:r>
    </w:p>
    <w:p>
      <w:r>
        <w:t>FR: TF 7B_256/2022 du 28 septembre 2023</w:t>
      </w:r>
    </w:p>
    <w:p>
      <w:r>
        <w:t>IT: TF 7B_256/2022 del 28 settembre 2023</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d.h. die geschädigte Person, die ausdrücklich erklärt hat, sich am Strafverfahren als Straf- oder Zivilklägerin zu beteiligen ( Art. 118 Abs. 1 StPO ). Geschädigt ist, wer durch die Straftat in seinen Rechten unmittelbar verletzt worden ist, wer mithin Träger des durch die verletzte Strafnorm geschützten oder zumindest mitgeschützten Rechtsguts ist ( Art. 115 Abs. 1 StPO ; BGE 143 IV 77 E. 2.1 f. mit Hinweisen). Die Privatklägerschaft ist zur Beschwerde in Strafsachen indes nur berechtigt, wenn sich der angefochtene Entscheid auf die Beurteilung ihrer Zivilansprüche auswirken kann ( BGE 146 IV 76 E. 3.2.4; 141 IV 1 E. 1.1). Zivilansprüche im Sinne von Art. 81 Abs. 1 lit. b Ziff. 5 BGG sind unmittelbar aus der Straftat resultierende und ordentlicherweise vor den Zivilgerichten geltend zu machende Ansprüche, in erster Linie auf Schadenersatz und Genugtuung gemäss Art. 41 ff. OR (vgl. BGE 146 IV 76 E. 3.1; 141 IV 1 E. 1.1).</w:t>
      </w:r>
    </w:p>
    <w:p>
      <w:r>
        <w:t>Im Falle eines Freispruchs der beschuldigten Person setzt die Beschwerdeberechtigung der Privatklägerschaft grundsätzlich voraus, dass diese, soweit zumutbar, ihre Zivilansprüche aus strafbarer Handlung im Strafverfahren geltend gemacht hat ( BGE 137 IV 246 E. 1.3.1; Urteil 6B_701/2020 vom 11. Juni 2021 E. 1.1; je mit Hinweisen), sich mithin im Strafverfahren nicht nur als Strafklägerin ( Art. 119 Abs. 2 lit. a StPO ), sondern auch als Zivilklägerin ( Art. 119 Abs. 2 lit. b StPO ) konstituiert hat (Urteile 6B_701/2020 vom 11. Juni 2021 E. 1.1; 6B_1202/2019 vom 9. Juli 2020 E. 1.1, nicht publ. in: BGE 146 IV 211 ; je mit Hinweisen).</w:t>
      </w:r>
    </w:p>
    <w:p>
      <w:r>
        <w:rPr>
          <w:b/>
        </w:rPr>
        <w:t>E. 1.2</w:t>
      </w:r>
    </w:p>
    <w:p>
      <w:r>
        <w:t>Die Beschwerdeführerin hat am 4. Februar 2016 gegen den Beschwerdegegner 2 Strafanzeige wegen Betrugs erhoben, sich als Privatklägerin konstituiert und im Folgenden am Verfahren teilgenommen. Sie hat dabei namentlich adhäsionsweise Zivilansprüche geltend gemacht und vor den Vorinstanzen beantragt, der Beschwerdegegner 2 sei zur Zahlung von Schadenersatz in der Höhe von Fr. 260'500.--, eventualiter Fr. 220'200.-- zu verpflichten. Die Vorinstanz hat den Beschwerdegegner 2 freigesprochen und die Zivilforderung der Beschwerdeführerin infolgedessen auf den Zivilweg verwiesen. Das angefochtene Urteil wirkt sich damit auf die Beurteilung der Zivilansprüche aus. Die Beschwerdeführerin ist daher zur Beschwerde in Strafsachen legitimiert. Die weiteren Sachurteilsvoraussetzungen geben zu keinen Bemerkungen Anlass, weshalb auf die Beschwerde grundsätzlich einzutreten ist.</w:t>
      </w:r>
    </w:p>
    <w:p>
      <w:r>
        <w:rPr>
          <w:b/>
        </w:rPr>
        <w:t>E. 2.1</w:t>
      </w:r>
    </w:p>
    <w:p>
      <w:r>
        <w:t>Die Beschwerdeführerin wendet sich gegen die vorinstanzliche Beweiswürdigung, wobei sie Willkür und eine Verletzung des Grundsatzes "in dubio pro reo" geltend macht. Dabei bringt sie im Wesentlichen vor, die Vorinstanz verkenne, dass die Erklärungen des Beschwerdegegners 2 nicht schlüssig seien. Die von ihm eingereichten Belege für seine Version des Sachverhalts seien widersprüchlich und unvollständig. Der Beschwerdegegner 2 sei nicht aufgefordert worden, seine Aussagen, wonach er die ertrogenen Mittel an die F.________ SIA bzw. E.________ überwiesen habe, mit Sachbeweisen zu belegen, sondern ihm sei einfach geglaubt worden. Die Vorinstanz verletze damit auch den Untersuchungsgrundsatz. Im Weiteren wende sie die Regeln des Indizienprozesses falsch an, da sie jedes einzelne Indiz gesondert würdige und eine Gesamtwürdigung aller Indizien unterlasse. Die Vorinstanz verlasse sich auf die Aussagen des Beschwerdegegners 2, ohne sich mit diesen auseinanderzusetzen und diese zu hinterfragen.</w:t>
      </w:r>
    </w:p>
    <w:p>
      <w:r>
        <w:rPr>
          <w:b/>
        </w:rPr>
        <w:t>E. 2.2.1</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Über Tatsachen, die unerheblich, offenkundig, der Strafbehörde bekannt oder bereits rechtsgenügend erwiesen sind, wird nicht Beweis geführt ( Art. 139 Abs. 2 StPO ).</w:t>
      </w:r>
    </w:p>
    <w:p>
      <w:r>
        <w:rPr>
          <w:b/>
        </w:rPr>
        <w:t>E. 2.2.2</w:t>
      </w:r>
    </w:p>
    <w:p>
      <w:r>
        <w:t>Das Bundesgericht legt seinem Urteil den Sachverhalt zugrunde, den die Vorinstanz festgestellt hat ( Art. 105 Abs. 1 BGG ). Die Sachverhaltsfeststellung kann vor Bundesgericht nur gerügt werden, wenn sie offensichtlich unrichtig und damit willkürlich ist oder auf einer Rechtsverletzung im Sinne von Art. 95 BGG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je mit Hinweisen). Der vorinstanzliche Entscheid muss nicht nur in der Begründung, sondern auch im Ergebnis willkürlich sein ( BGE 146 IV 88 E. 1.3.1;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je mit Hinweisen).</w:t>
      </w:r>
    </w:p>
    <w:p>
      <w:r>
        <w:t>Dem Grundsatz "in dubio pro reo" kommt in seiner Funktion als Beweiswürdigungsregel im Verfahren vor Bundesgericht keine über das Willkürverbot von Art. 9 BV hinausgehende Bedeutung zu ( BGE 146 IV 88 E. 1.3.1; 145 IV 154 E. 1.1; je mit Hinweisen).</w:t>
      </w:r>
    </w:p>
    <w:p>
      <w:r>
        <w:rPr>
          <w:b/>
        </w:rPr>
        <w:t>E. 2.2.3</w:t>
      </w:r>
    </w:p>
    <w:p>
      <w:r>
        <w:t>Was der Täter wusste, wollte und in Kauf nahm, betrifft sogenannte innere Tatsachen und ist Tatfrage. Als solche prüft sie das Bundesgericht nur unter dem Gesichtspunkt der Willkür ( BGE 141 IV 369 E. 6.3; 137 IV 1 E. 4.2.3; je mit Hinweisen).</w:t>
      </w:r>
    </w:p>
    <w:p>
      <w:r>
        <w:rPr>
          <w:b/>
        </w:rPr>
        <w:t>E. 2.2.4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6B_184/2022 vom 18. August 2023 E. 1.2.3; 6B_1302/2020 vom 3. Februar 2021 E. 1.2.3, nicht publ. in BGE 147 IV 176 ;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6B_184/2022 vom 18. August 2023 E. 1.2.3; 6B_790/2021 vom 20. Januar 2022 E. 1.2.3; je mit Hinweisen).</w:t>
      </w:r>
    </w:p>
    <w:p>
      <w:r>
        <w:rPr>
          <w:b/>
        </w:rPr>
        <w:t>E. 2.2.5</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6B_184/2022 vom 18. August 2023 E. 1.2.3; 6B_790/2021 vom 20. Januar 2022 E. 1.2.4; 6B_1302/2020 vom 3. Februar 2021 E. 1.2.4, nicht publ. in BGE 147 IV 176 ; je mit Hinweisen).</w:t>
      </w:r>
    </w:p>
    <w:p>
      <w:r>
        <w:rPr>
          <w:b/>
        </w:rPr>
        <w:t>E. 3</w:t>
      </w:r>
    </w:p>
    <w:p>
      <w:r>
        <w:t>Mit ihren Vorbringen gegen die vorinstanzliche Beweiswürdigung und Sachverhaltsfeststellung zeigt die Beschwerdeführerin weder Willkür noch eine sonstige Verletzung von Bundesrecht auf.</w:t>
      </w:r>
    </w:p>
    <w:p>
      <w:r>
        <w:rPr>
          <w:b/>
        </w:rPr>
        <w:t>E. 3.1</w:t>
      </w:r>
    </w:p>
    <w:p>
      <w:r>
        <w:t>Im Zusammenhang mit der Frage nach dem äusseren Ablauf der Geschehnisse fasst die Vorinstanz zunächst die Aussagen des Beschwerdegegners 2 zum Geschäftsablauf zusammen. Anschliessend legt sie dar, weshalb sie seine Darstellungen als glaubhaft erachtet und auf diese abstellt. Sie erwägt, der Beschwerdegegner 2 sei insgesamt fünf Mal zur Sache befragt worden. Dabei habe er detaillierte Angaben gemacht und konstant und widerspruchsfrei ausgesagt. Seine Aussagen seien insoweit stimmig und würden sich grösstenteils auch mit der Aktenlage decken. Er habe seine Sachdarstellungen mit der Einreichung diverser Unterlagen stützen können. Auch habe er - als die Privatklägerin verschiedene Auskünfte zur Geschäftstätigkeit seiner Firmen verlangt habe - detaillierte und stimmige Angaben gemacht. Die Einreichung des Vertrages mit E.________ bzw. der F.________ SIA an die Beschwerdeführerin habe sich zum damaligen Zeitpunkt nicht aufgedrängt (vgl. angefochtenes Urteil Ziff. 4.1 f. S. 9 ff.). Die Vorinstanz hat sich damit hinreichend mit den Aussagen des Beschwerdegegners 2 auseinandergesetzt und diese auf ihre Glaubhaftigkeit überprüft. Inwiefern ihre Würdigung willkürlich sein sollte, ist nicht erkennbar.</w:t>
      </w:r>
    </w:p>
    <w:p>
      <w:r>
        <w:rPr>
          <w:b/>
        </w:rPr>
        <w:t>E. 3.2</w:t>
      </w:r>
    </w:p>
    <w:p>
      <w:r>
        <w:t>Soweit die Beschwerdeführerin behauptet, die Aussagen des Beschwerdegegners 2 seien insoweit unschlüssig, als er die angeblichen Geschäftsbeziehungen zur F.________ SIA bzw. E.________ ihr gegenüber (d.h. der Beschwerdeführerin gegenüber) nicht erwähnt und den zwischen der C.________ gmbh und der F.________ SIA abgeschlossenen Vertrag erst im Rahmen seiner ersten Einvernahme eingereicht hatte, setzt sie sich nicht mit der Erwägung der Vorinstanz auseinander, wonach seitens des Beschwerdegegners 2 kein Anlass bestanden habe, den besagten Vertrag früher einzureichen (vgl. angefochtenes Urteil Ziff. 4.2 S. 11). Auf ihre Kritik ist mangels hinreichender Begründung nicht einzugehen. Inwiefern der vom Beschwerdegegner 2 eingereichte Vertrag einen Vertragsgegenstand aufweisen soll, der mit dessen Erklärungen nicht im Ansatz übereinstimme, zeigt die Beschwerdeführerin im Weiteren nicht substanziiert auf. Vielmehr belässt sie es unter Verweis auf den besagten Vertrag bei dieser pauschalen Behauptung, ohne die Divergenzen im Einzelnen darzulegen. Damit genügt sie den Begründungsanforderungen abermals nicht.</w:t>
      </w:r>
    </w:p>
    <w:p>
      <w:r>
        <w:rPr>
          <w:b/>
        </w:rPr>
        <w:t>E. 3.3</w:t>
      </w:r>
    </w:p>
    <w:p>
      <w:r>
        <w:t>Was sodann die Rüge betrifft, die Vorinstanz habe davon abgesehen, vom Beschwerdegegner 2 Belege für die von ihm behaupteten Überweisungen an seine Auftraggeberin einzufordern, ist darauf hinzuweisen, dass die Beschwerdeführerin - soweit ersichtlich - im vorinstanzlichen Verfahren keinen diesbezüglichen Beweisantrag gestellt hat. Dass es für die Vorinstanz erforderlich gewesen wäre, trotz der vorhandenen Beweismittel, insbesondere den widerspruchsfreien und stimmigen Aussagen des Beschwerdegegners 2, von Amtes wegen zusätzliche Beweise abzunehmen (vgl. Art. 389 Abs. 3 StPO ), zeigt die Beschwerdeführerin nicht auf und ist auch nicht ersichtlich. Die Vorinstanz konnte ohne Willkür auf die vorhandenen Beweise abstellen und davon ausgehen, dass der Beschwerdegegner 2 - wie ihm in der Anklage auch vorgehalten wird - die Gelder, unter Abzug des ihm vertragsgemäss zustehenden Entgelts, an seine Auftraggeberin überwiesen hat. Eine Verletzung des Untersuchungsgrundsatzes ist zu verneinen.</w:t>
      </w:r>
    </w:p>
    <w:p>
      <w:r>
        <w:rPr>
          <w:b/>
        </w:rPr>
        <w:t>E. 3.4</w:t>
      </w:r>
    </w:p>
    <w:p>
      <w:r>
        <w:t>Desgleichen ist nicht ersichtlich, dass die Vorinstanz die Regeln des Indizienprozesses verkannt und die inneren Tatsachen im Zusammenhang mit dem subjektiven Tatbestand willkürlich festgestellt hätte. So hat sie sich ausführlich mit den in der Anklage aufgeführten Indizien für ein eventualvorsätzliches Handeln des Beschwerdegegners 2 befasst und dessen in diesem Zusammenhang gemachten entlastenden Angaben auf ihre Plausibilität und Glaubhaftigkeit überprüft. Dabei ist sie jeweils nachvollziehbar zum Schluss gelangt, der angeführte Umstand würde keine Rückschlüsse auf Eventualvorsatz zulassen bzw. aus dem angeführten Umstand lasse sich kein eventualvorsätzliches Handeln herleiten (vgl. angefochtenes Urteil Ziff. 5 ff. S. 12 ff.). Dass sie die Indizien im Einzelnen willkürlich gewürdigt oder gewichtet hätte, ist nicht erkennbar und wird von der Beschwerdeführerin denn auch nicht in einer für die Willkürrüge erforderlichen Weise dargelegt.</w:t>
      </w:r>
    </w:p>
    <w:p>
      <w:r>
        <w:t>Ebenso wenig trifft es zu, dass die Vorinstanz nach Würdigung und Gewichtung der einzelnen Indizien auf eine Gesamtwürdigung verzichtet hat. So hat sie - wie auch die Beschwerdeführerin anerkennt - festgehalten, dass die eingeklagten Umstände keine zweifelsfreien Rückschlüsse auf das Vorliegen eines Eventualvorsatzes zuliessen und insgesamt kein Bild zu erzeugen vermöchten, welches bei objektiver Betrachtung keine Zweifel daran bestehen liesse, dass der Beschwerdegegner 2 es für möglich hielt und in Kauf nahm, dass die Lastschriftmandate gefälscht bzw. die der Beschwerdeführerin übermittelten Daten auf unberechtigte Art und Weise erlangt worden waren. Selbst wenn einzelne der eingeklagten Umstände als den Beschwerdegegner 2 belastende Indizien gewertet werden mögen, so würden sich diese noch nicht derart zu einer Gewissheit verdichten, dass die entlastenden Umstände als unerheblich erscheinen würden. Die Vorinstanz hat mit diesen Ausführungen hinreichend dargelegt, weshalb sie ein deliktisches Wissen und Wollen des Beschwerdegegners 2 verneint. Angesichts dessen, dass sie die den Beschwerdegegner 2 nach Auffassung der Anklage belastenden Indizien allesamt als nicht gewichtig erachtet hat, erscheint ihr Schluss, wonach bei einer Gesamtbetrachtung unüberwindliche Zweifel am Vorliegen des für Eventualvorsatz notwendigen "für möglich halten" und "in Kauf nehmen" bestehen würden, als nachvollziehbar. Mit der nicht weiter begründeten Behauptung der Beschwerdeführerin, die Würdigung des Gesamtbilds vermöge die Wahrscheinlichkeit nahezulegen, dass der Beschwerdegegner 2 ein Konstrukt aufgebaut habe, dessen einzelne Komponenten er nun als Schutzbehauptungen verwende, um zu behaupten, er habe von einem potentiell betrügerischen Vorgehen und einer möglichen Schädigung der Beschwerdeführerin nichts wissen können, lässt sich jedenfalls keine Willkür oder sonstige Bundesrechtsverletzung dartun. Die Vorinstanz hat das Vorliegen der für die Annahme von Eventualvorsatz notwendigen inneren Tatsachen in Anwendung des Grundsatzes "in dubio pro reo" willkürfrei verneint. Eine Auseinandersetzung mit den im Zwischenentscheid des Obergerichts Zürich vom 21. Februar 2018 gemachten Überlegungen erübrigt sich damit.</w:t>
      </w:r>
    </w:p>
    <w:p>
      <w:r>
        <w:t>Die vorinstanzlichen Freisprüche sind mangels Vorliegen des subjektiven Tatbestandes bundesrechtskonform.</w:t>
      </w:r>
    </w:p>
    <w:p>
      <w:r>
        <w:rPr>
          <w:b/>
        </w:rPr>
        <w:t>E. 4</w:t>
      </w:r>
    </w:p>
    <w:p>
      <w:r>
        <w:t>Die Begehren auf Freigabe der beschlagnahmten Vermögenswerte, Bezahlung von Schadenersatz und Rückweisung der Sache zur Neuregelung der Kosten- und Nebenfolgen beziehen sich auf den Fall, dass der Beschwerdegegner 2 schuldig gesprochen wird. Da das angefochtene Urteil in der Sache zu bestätigen ist, erübrigt es sich, auf diese Anträge einzugehen.</w:t>
      </w:r>
    </w:p>
    <w:p>
      <w:r>
        <w:rPr>
          <w:b/>
        </w:rPr>
        <w:t>E. 5</w:t>
      </w:r>
    </w:p>
    <w:p>
      <w:r>
        <w:t>Die Beschwerde ist abzuweisen, soweit darauf einzutreten ist.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