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7B_254/2026 vom 30. März 2026</w:t>
      </w:r>
    </w:p>
    <w:p>
      <w:r>
        <w:t>Bundesgericht, 2026-03-30, DE</w:t>
      </w:r>
    </w:p>
    <w:p>
      <w:r>
        <w:rPr>
          <w:b/>
        </w:rPr>
        <w:t xml:space="preserve">Quelle: </w:t>
      </w:r>
      <w:r>
        <w:t>https://mcp.opencaselaw.ch/entscheid/bger_7B_254_2026</w:t>
      </w:r>
    </w:p>
    <w:p>
      <w:r>
        <w:t>FR: TF 7B_254/2026 du 30 mars 2026</w:t>
      </w:r>
    </w:p>
    <w:p>
      <w:r>
        <w:t>IT: TF 7B_254/2026 del 30 marzo 2026</w:t>
      </w:r>
    </w:p>
    <w:p>
      <w:pPr>
        <w:pStyle w:val="Heading2"/>
      </w:pPr>
      <w:r>
        <w:t>Erwägungen</w:t>
      </w:r>
    </w:p>
    <w:p>
      <w:r>
        <w:rPr>
          <w:b/>
        </w:rPr>
        <w:t>E. 1</w:t>
      </w:r>
    </w:p>
    <w:p>
      <w:r>
        <w:t>Mit Verfügung vom 6. Januar 2025 nahm die Staatsanwaltschaft II des Kantons Zürich ein Strafverfahren gegen diverse Personen, die Kantonspolizei Zürich sowie die KESB Bezirk Meilen nicht an die Hand. Dagegen erhob A.________ (nachfolgend: die Beschwerdeführerin) Beschwerde, welche das Obergericht des Kantons Zürich mit Beschluss vom 9. Februar 2026 abwies.</w:t>
      </w:r>
    </w:p>
    <w:p>
      <w:r>
        <w:t>Die Beschwerdeführerin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die Beschwerdeführerin erhebe lediglich allgemeine Vorwürfe gegen Behörden, aus denen sich keine Hinweise auf strafbare Handlungen der Angezeigten zum Nachteil der Beschwerdeführerin entnehmen liessen. Soweit sie Vorwürfe gegen den Kindsvater erhebe, sei festzuhalten, dass diese als solche nicht Gegenstand der angefochtenen Nichtanhandnahmeverfügung und somit auch nicht des kantonalen Beschwerdeverfahrens seien.</w:t>
      </w:r>
    </w:p>
    <w:p>
      <w:r>
        <w:rPr>
          <w:b/>
        </w:rPr>
        <w:t>E. 3.2</w:t>
      </w:r>
    </w:p>
    <w:p>
      <w:r>
        <w:t>Die Eingabe der Beschwerdeführerin erfüllt offensichtlich nicht die Anforderungen an die Begründung einer Beschwerde an das Bundesgericht ( Art. 42 Abs. 2 und Art. 106 Abs. 2 BGG ; BGE 148 IV 356 E. 2.1, 39 E. 2.3.5; 142 III 364 E. 2.4). Eine inhaltliche Auseinandersetzung mit dem angefochtenen Beschluss fehlt vollständig: Die Beschwerdeführerin legt nicht ansatzweise dar,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3.3</w:t>
      </w:r>
    </w:p>
    <w:p>
      <w:r>
        <w:t>Die Beschwerdeführerin trägt die Kosten des bundesgerichtlichen Verfahrens ( Art. 66 Abs. 1 BGG ). Ihr Gesuch um Gewährung der unentgeltlichen Rechtspflege ist abzuweisen, da die Beschwerde von vornherein aussichtslos war. Ihr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