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7B_254/2025 vom 16. Februar 2026</w:t>
      </w:r>
    </w:p>
    <w:p>
      <w:r>
        <w:t>Bundesgericht, 2026-02-16, DE</w:t>
      </w:r>
    </w:p>
    <w:p>
      <w:r>
        <w:rPr>
          <w:b/>
        </w:rPr>
        <w:t xml:space="preserve">Quelle: </w:t>
      </w:r>
      <w:r>
        <w:t>https://mcp.opencaselaw.ch/entscheid/bger_7B_254_2025</w:t>
      </w:r>
    </w:p>
    <w:p>
      <w:r>
        <w:t>FR: TF 7B_254/2025 du 16 février 2026</w:t>
      </w:r>
    </w:p>
    <w:p>
      <w:r>
        <w:t>IT: TF 7B_254/2025 del 16 febbraio 2026</w:t>
      </w:r>
    </w:p>
    <w:p>
      <w:pPr>
        <w:pStyle w:val="Heading2"/>
      </w:pPr>
      <w:r>
        <w:t>Erwägungen</w:t>
      </w:r>
    </w:p>
    <w:p>
      <w:r>
        <w:rPr>
          <w:b/>
        </w:rPr>
        <w:t>E. 1</w:t>
      </w:r>
    </w:p>
    <w:p>
      <w:r>
        <w:t>Angefochten ist ein Entscheid im Zusammenhang mit der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Diese Regelung stützt sich auf die Verfahrensökonomie: In seiner Funktion als oberstes Gericht soll sich das Bundesgericht grundsätzlich nur ein Mal mit einem Verfahren beschäftigen müssen ( BGE 148 IV 155 E. 1.1).</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vorgesehen, mit Hinweisen). Demgegenüber ist auf Beschwerden gegen prozessleitende Verfügungen im Entsiegelungsverfahren mangels drohenden nicht wieder gutzumachenden Rechtsnachteils grundsätzlich nicht einzutreten (Urteil 7B_113/2024 vom 26. August 2025 E. 2.3 mit Hinweis).</w:t>
      </w:r>
    </w:p>
    <w:p>
      <w:r>
        <w:t>Da die Vorinstanz in Dispositiv-Ziffer 2 des angefochtenen Entscheids materiell über das Entsiegelungsgesuch entscheidet und Daten der Staatsanwaltschaft zur Durchsuchung und Verwendung in der laufenden Strafuntersuchung freigibt, ist das Erfordernis des nicht wieder gutzumachenden Nachteils vorliegend erfüllt. Auf die Beschwerde ist daher insoweit einzutreten.</w:t>
      </w:r>
    </w:p>
    <w:p>
      <w:r>
        <w:rPr>
          <w:b/>
        </w:rPr>
        <w:t>E. 3.1</w:t>
      </w:r>
    </w:p>
    <w:p>
      <w:r>
        <w:t>Nach konstanter Rechtsprechung darf das zuständige Gericht die Entsiegelung der sichergestellten Aufzeichnungen und Gegenstände erst anordnen, nachdem es allfällige geheimnisgeschützte Informationen - gegebenenfalls unter Zuhilfenahme einer sachverständigen Person - ausgesondert hat (Urteile 7B_970/2023 vom 27. November 2025 E. 2.2; 7B_378/2025 vom 21. Juli 2025 E. 3.2 mit Hinweisen).</w:t>
      </w:r>
    </w:p>
    <w:p>
      <w:r>
        <w:rPr>
          <w:b/>
        </w:rPr>
        <w:t>E. 3.2</w:t>
      </w:r>
    </w:p>
    <w:p>
      <w:r>
        <w:t>Die Vorinstanz ordnet einerseits prozessleitend die Durchführung einer Triage der sichergestellten Aufzeichnungen und Gegenstände an und entscheidet andererseits zugleich materiell über die Freigabe dieser (erst noch zu triagierenden) Aufzeichnungen und Gegenstände. Die angefochtene Verfügung erweist sich insoweit als bundesrechtswidrig, weil die vom Beschwerdeführer gerügte Gutheissung des Entsiegelungsgesuchs im Rahmen eines unzulässigen sogenannten hybriden Entsiegelungsentscheids erfolgt. Die entsprechende Dispositiv-Ziffer 2 ist daher aufzuheben. Die Vorinstanz wird nach durchgeführter Triage erneut formell über die allfällige Freigabe der sichergestellten Aufzeichnungen und Gegenstände zu entscheiden haben. Unter diesen Umständen erübrigt es sich, auf die weiteren Rügen des Beschwerdeführers einzugehen.</w:t>
      </w:r>
    </w:p>
    <w:p>
      <w:r>
        <w:rPr>
          <w:b/>
        </w:rPr>
        <w:t>E. 4</w:t>
      </w:r>
    </w:p>
    <w:p>
      <w:r>
        <w:t>Soweit die Vorinstanz im angefochtenen Entscheid (lediglich) die Triage anordnet und deren Modalitäten festlegt, zeigt der Beschwerdeführer nicht auf und ist auch nicht ersichtlich, weshalb es (ausnahmsweise) nicht möglich sein sollte, die im vorliegenden Verfahren gerügten Verletzungen von Bundesrecht in einem allfälligen späteren (den eigentlichen Entsiegelungsentscheid betreffenden) Beschwerdeverfahren ohne Rechtsverlust vorzubringen. Auf die Beschwerde ist insoweit nicht einzutreten.</w:t>
      </w:r>
    </w:p>
    <w:p>
      <w:r>
        <w:rPr>
          <w:b/>
        </w:rPr>
        <w:t>E. 5</w:t>
      </w:r>
    </w:p>
    <w:p>
      <w:r>
        <w:t>Nach dem Gesagten ist die Beschwerde gutzuheissen, soweit darauf einzutreten ist. Dispositiv-Ziffer 2 des angefochtenen Entscheids ist aufzuheben und die Sache an die Vorinstanz zurückzuweisen.</w:t>
      </w:r>
    </w:p>
    <w:p>
      <w:r>
        <w:t>Die Parteien sind im Umfang ihres Unterliegens grundsätzlich kosten- und entschädigungspflichtig (Art. 66 Abs. 1 und Art. 68 Abs. 1 und 2 BGG ). Der Kanton Zürich hat dem Beschwerdeführer, soweit dieser obsiegt, für das bundesgerichtliche Verfahren eine angemessene Entschädigung zu bezahlen, trägt aber keine Verfahrenskosten ( Art. 66 Abs. 4 BGG ). Da der Beschwerdeführer um unentgeltliche Rechtspflege ersucht, ist die Entschädigung praxisgemäss seinem Rechtsvertreter zuzusprechen (vgl. Urteil 7B_985/2025 vom 16. Oktober 2025 E. 3 mit Hinweis). Insoweit wird das Gesuch um unentgeltliche Rechtspflege gegenstandslos. Im Übrigen ist das Gesuch aufgrund der Aussichtslosigkeit der weiteren Rechtsbegehren abzuweisen ( Art. 64 Abs. 1 und 2 BGG ). Angesichts der Umstände rechtfertigt es sich indessen,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