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7B_254/2024 vom 11. April 2024</w:t>
      </w:r>
    </w:p>
    <w:p>
      <w:r>
        <w:t>Bundesgericht, 2024-04-11, DE</w:t>
      </w:r>
    </w:p>
    <w:p>
      <w:r>
        <w:rPr>
          <w:b/>
        </w:rPr>
        <w:t xml:space="preserve">Quelle: </w:t>
      </w:r>
      <w:r>
        <w:t>https://mcp.opencaselaw.ch/entscheid/bger_7B_254_2024</w:t>
      </w:r>
    </w:p>
    <w:p>
      <w:r>
        <w:t>FR: TF 7B_254/2024 du 11 avril 2024</w:t>
      </w:r>
    </w:p>
    <w:p>
      <w:r>
        <w:t>IT: TF 7B_254/2024 del 11 aprile 2024</w:t>
      </w:r>
    </w:p>
    <w:p>
      <w:pPr>
        <w:pStyle w:val="Heading2"/>
      </w:pPr>
      <w:r>
        <w:t>Erwägungen</w:t>
      </w:r>
    </w:p>
    <w:p>
      <w:r>
        <w:rPr>
          <w:b/>
        </w:rPr>
        <w:t>E. 1</w:t>
      </w:r>
    </w:p>
    <w:p>
      <w:r>
        <w:t>Die Staatsanwaltschaft des Kantons Basel-Stadt führte gegen B.________ (Beschuldigte) ein Strafverfahren wegen mehrfacher Beschimpfung zum Nachteil des Beschwerdeführers. Am 24. August 2023 stellte sie das Strafverfahren ein. Die dagegen vom Beschwerdeführer erhobene Beschwerde wies das Appellationsgericht des Kantons Basel-Stadt mit Entscheid vom 25. Januar 2024 ab. Der Beschwerdeführer wendet sich mit Eingabe vom 29. Februar 2024 gegen diesen Entscheid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führt in seiner knappen Eingabe aus, die Vorinstanz und die Staatsanwaltschaft hätten "einen völlig klaren, unstrittigen und nachgewiesenen Fall von Beschimpfung" vorgelegt bekommen. Es komme einer "Untergrabung des Schweizer Strafrechts" gleich, wenn Staatsanwaltschaft und Vorinstanz "die Rolle der Verteidigung" der Beschuldigten übernähmen und diese freisprächen "und sogar die Opfer dreister- und unverfrorenerweise mit Gebühren verhöhnen". Durch die Beschimpfungen und Beleidigungen der Beschuldigten fühle er sich bis heute zutiefst in der Ehre angegriffen und verletzt. Mit diesen Ausführungen erschöpft sich die Beschwerde in unzulässiger appellatorischer Kritik. Eine inhaltliche Auseinandersetzung mit dem angefochtenen Entscheid - die Vorinstanz beurteilte die Einstellung des Strafverfahrens als rechtens, da für einen Teil der Ehrverletzungsdelikte die Strafantragsfrist abgelaufen und für einen anderen Teil eine Entschuldigung durch die Beschuldigte erfolgt war, weshalb nach Art. 53 StGB von der Strafverfolgung abzusehen sei - findet sich nicht in der Beschwerde. Der Beschwerde lässt sich nicht ansatzweise entnehmen, dass und inwiefern die Vorinstanz mit dem angefochtenen Entscheid gegen das geltende Recht im Sinne von Art. 95 BGG verstossen haben könnte.</w:t>
      </w:r>
    </w:p>
    <w:p>
      <w:r>
        <w:t>Ferner mangelt es der Beschwerde an einer hinreichenden Begründung, weshalb dem Beschwerdeführer Zivilforderungen zustehen sollen und er als Privatkläger im Sinne von Art. 81 Abs. 1 lit. b Ziff. 5 BGG zur Beschwerde berechtigt sein soll.</w:t>
      </w:r>
    </w:p>
    <w:p>
      <w:r>
        <w:t>Die Beschwerde vermag insgesamt den Begründungsanforderungen offensichtlich nicht zu genügen.</w:t>
      </w:r>
    </w:p>
    <w:p>
      <w:r>
        <w:rPr>
          <w:b/>
        </w:rPr>
        <w:t>E. 4</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