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7B_252/2025 vom 20. Mai 2025</w:t>
      </w:r>
    </w:p>
    <w:p>
      <w:r>
        <w:t>Bundesgericht, 2025-05-20, DE</w:t>
      </w:r>
    </w:p>
    <w:p>
      <w:r>
        <w:rPr>
          <w:b/>
        </w:rPr>
        <w:t xml:space="preserve">Quelle: </w:t>
      </w:r>
      <w:r>
        <w:t>https://mcp.opencaselaw.ch/entscheid/bger_7B_252_2025</w:t>
      </w:r>
    </w:p>
    <w:p>
      <w:r>
        <w:t>FR: TF 7B_252/2025 du 20 mai 2025</w:t>
      </w:r>
    </w:p>
    <w:p>
      <w:r>
        <w:t>IT: TF 7B_252/2025 del 20 maggio 2025</w:t>
      </w:r>
    </w:p>
    <w:p>
      <w:pPr>
        <w:pStyle w:val="Heading2"/>
      </w:pPr>
      <w:r>
        <w:t>Erwägungen</w:t>
      </w:r>
    </w:p>
    <w:p>
      <w:r>
        <w:rPr>
          <w:b/>
        </w:rPr>
        <w:t>E. 1</w:t>
      </w:r>
    </w:p>
    <w:p>
      <w:r>
        <w:t>Die Beschwerdeführerin reichte am 12. April 2024 bei der Staatsanwaltschaft, Amt der Region Oberwallis, eine Strafanzeige gegen ihren Neffen B.________ wegen Betrugs in einer Erbschaftsangelegenheit ein. Die Staatsanwaltschaft verfügte am 7. Oktober 2024 die Nichtanhandnahme, ohne Kosten zu erheben oder Entschädigungen zu sprechen. Die dagegen von der Beschwerdeführerin beim Kantonsgericht des Kantons Wallis erhobene Beschwerde wurde mit Verfügung vom 11. Februar 2025 abgewiesen. Die Beschwerdeführerin wendet sich mit Beschwerde in Strafsachen ans Bundesgericht und beantragt - neben zahlreichen weiteren Anträgen - die Aufhebung der Verfügung des Kantonsgerichts vom 11. Februar 2025 und die Rückweisung der Sache an die Staatsanwaltschaft, um ein Strafverfahren zu eröffnen.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Die Eingabe äussert sich nicht zur Frage der Legitimation oder eines möglichen Zivilanspruchs gemäss Art. 81 Abs. 1 lit. b Ziff. 5 BGG, was jedoch für die Zulässigkeit der Beschwerde erforderlich wäre. Bereits daher mangelt es dieser offensichtlich an einer hinreichenden Begründung und es ist nicht auf sie einzutreten.</w:t>
      </w:r>
    </w:p>
    <w:p>
      <w:r>
        <w:t>Der Eingabe fehlt es im Übrigen an einer nachvollziehbaren Begründung dafür, weshalb die angefochtene Verfügung als sachlich oder rechtlich unzutreffend zu qualifizieren wäre. Im Zentrum stehen die subjektive Sichtweise der Beschwerdeführerin auf das Geschehen und eigene rechtliche Schlussfolgerungen, ohne materielle Auseinandersetzung mit den vorinstanzlichen Erwägungen. Die Eingabe bleibt damit auch diesbezüglich offensichtlich hinter dem erforderlichen Begründungsanforderungen zurück, auch wenn die vorgetragenen Anliegen grundsätzlich nachvollziehbar erscheinen mögen.</w:t>
      </w:r>
    </w:p>
    <w:p>
      <w:r>
        <w:rPr>
          <w:b/>
        </w:rPr>
        <w:t>E. 4</w:t>
      </w:r>
    </w:p>
    <w:p>
      <w:r>
        <w:t>Formelle Rügen, zu deren Geltendmachung die Beschwerdeführerin unbesehen von der fehlenden Legitimation in der Sache befugt wäre, da sie namentlich von der Prüfung der Sache getrennt werden können (sog. "Star-Praxis"; vgl. BGE 141 IV 1 E. 1.1; 141 IV 1 E. 1.1), erhebt sie nicht.</w:t>
      </w:r>
    </w:p>
    <w:p>
      <w:r>
        <w:rPr>
          <w:b/>
        </w:rPr>
        <w:t>E. 5</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