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251/2024 vom 22. April 2024</w:t>
      </w:r>
    </w:p>
    <w:p>
      <w:r>
        <w:t>Bundesgericht, 2024-04-22, FR</w:t>
      </w:r>
    </w:p>
    <w:p>
      <w:r>
        <w:rPr>
          <w:b/>
        </w:rPr>
        <w:t xml:space="preserve">Quelle: </w:t>
      </w:r>
      <w:r>
        <w:t>https://mcp.opencaselaw.ch/entscheid/bger_7B_251_2024</w:t>
      </w:r>
    </w:p>
    <w:p>
      <w:r>
        <w:t>FR: TF 7B 251/2024 du 22 avril 2024</w:t>
      </w:r>
    </w:p>
    <w:p>
      <w:r>
        <w:t>IT: TF 7B 251/2024 del 22 aprile 2024</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 recours cantonal et son complément étaient irrecevables, dès lors qu'ils ne satisfaisaient pas aux exigences de motivation prescrites par l' art. 385 CPP , à défaut de pouvoir comprendre précisément ce que le recourant invoquait sur le plan pénal tant au niveau factuel que juridique. Par surabondance, elle a relevé que l'ordonnance de non-entrée en matière du 28 septembre 2023 était bien fondée, dans la mesure où les conditions de l' art. 310 al. 1 CPP étaient réalisées (cf. arrêt attaqué, consid. 3 et 4 p. 4 ss).</w:t>
      </w:r>
    </w:p>
    <w:p>
      <w:r>
        <w:rPr>
          <w:b/>
        </w:rPr>
        <w:t>E. 1.3</w:t>
      </w:r>
    </w:p>
    <w:p>
      <w:r>
        <w:t>Face à la motivation cantonale, le recourant se borne à exposer que les personnes visées par ses plaintes pénales des 20 février et 22 mai 2023 auraient commis les actes dénoncés, lesquels réaliseraient les éléments constitutifs de diverses infractions. Il se limite ainsi à critiquer l'appréciation cantonale sur le bien-fondé de l'ordonnance de non-entrée en matière litigieuse, sans formuler aucun grief en lien avec la recevabilité de ses actes de recours cantonaux et l'application faite par l'autorité précédente de l' art. 385 CPP . Ce faisant, le recourant ne critique pas le motif principal évoqué par la cour cantonale et qui, à lui seul, fondait l'irrecevabilité de son recours cantonal ainsi que de son complément. Il échoue en tout état à mettre en évidence, par une motivation conforme aux exigences en la matière, en quoi la cour cantonale aurait violé le droit fédéral en constatant l'irrecevabilité des actes en question.</w:t>
      </w:r>
    </w:p>
    <w:p>
      <w:r>
        <w:rPr>
          <w:b/>
        </w:rPr>
        <w:t>E. 1.4</w:t>
      </w:r>
    </w:p>
    <w:p>
      <w:r>
        <w:t>Le recours ne répondant manifestement pas aux exigences de motivation d'un recours en matière pénale au Tribunal fédéral, il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