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247/2024 vom 2. April 2024</w:t>
      </w:r>
    </w:p>
    <w:p>
      <w:r>
        <w:t>Bundesgericht, 2024-04-02, FR</w:t>
      </w:r>
    </w:p>
    <w:p>
      <w:r>
        <w:rPr>
          <w:b/>
        </w:rPr>
        <w:t xml:space="preserve">Quelle: </w:t>
      </w:r>
      <w:r>
        <w:t>https://mcp.opencaselaw.ch/entscheid/bger_7B_247_2024</w:t>
      </w:r>
    </w:p>
    <w:p>
      <w:r>
        <w:t>FR: TF 7B 247/2024 du 2 avril 2024</w:t>
      </w:r>
    </w:p>
    <w:p>
      <w:r>
        <w:t>IT: TF 7B 247/2024 del 2 aprile 2024</w:t>
      </w:r>
    </w:p>
    <w:p>
      <w:pPr>
        <w:pStyle w:val="Heading2"/>
      </w:pPr>
      <w:r>
        <w:t>Regeste</w:t>
      </w:r>
    </w:p>
    <w:p>
      <w:r>
        <w:t>Détention provisoire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l'autorité précédente a considéré que le recours cantonal ne remplissait pas les exigences de motivation prescrites par l' art. 385 CPP . Le recourant n'indiquait en particulier pas en quoi le raisonnement du TMC sur le risque de fuite serait erroné. Il n'apportait enfin aucun développement susceptible de démontrer que les mesures de substitution requises seraient de nature à pallier le risque de fuite, respectivement que la durée de la détention serait disproportionnée (cf. arrêt attaqué, consid. 1.3 p. 4 s.).</w:t>
      </w:r>
    </w:p>
    <w:p>
      <w:r>
        <w:rPr>
          <w:b/>
        </w:rPr>
        <w:t>E. 1.3</w:t>
      </w:r>
    </w:p>
    <w:p>
      <w:r>
        <w:t>Face à la motivation cantonale, le recourant se limite pour l'essentiel à alléguer qu'il ne recevrait pas un traitement médical nécessaire dans le cadre de sa détention, qu'il aurait dit la vérité depuis son arrestation, qu'il accepterait d'être transféré sur le plan administratif au canton de Berne, qu'il s'engagerait à donner suite à toute convocation judiciaire et à ne pas entrer en contact avec les parties plaignantes, qu'il aurait quitté la délinquance et qu'il serait intégré dans le monde professionnel. Ce faisant, le recourant ne propose aucune motivation, conforme aux exigences en la matière, propre à démontrer en quoi l'autorité précédente aurait violé le droit fédéral (soit en particulier l' art. 385 CPP ) en déclarant son recours cantonal irrecevable.</w:t>
      </w:r>
    </w:p>
    <w:p>
      <w:r>
        <w:rPr>
          <w:b/>
        </w:rPr>
        <w:t>E. 1.4</w:t>
      </w:r>
    </w:p>
    <w:p>
      <w:r>
        <w:t>Pour le surplus, en tant que le recourant conclut à la réforme de la décision attaquée en ce sens qu'un traitement médical particulier ainsi que son transfert dans un autre canton soient ordonnés, ces conclusions nouvelles sont irrecevables (cf. art. 99 LTF ).</w:t>
      </w:r>
    </w:p>
    <w:p>
      <w:r>
        <w:rPr>
          <w:b/>
        </w:rPr>
        <w:t>E. 1.5</w:t>
      </w:r>
    </w:p>
    <w:p>
      <w:r>
        <w:t>Ne répondant ainsi manifestement pas aux exigences de motivation et de recevabilité d'un recours en matière pénale au Tribunal fédéral, le recours doit être déclaré irrecevable selon la procédure simplifiée prévue par l' art. 108 al. 1 let. a et b LTF .</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fixés en tenant compte de sa situation financière, qui n'apparaît pas favorable (art. 65 al. 2 et 66 al. 1 LTF).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