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7B_246/2024 vom 16. Mai 2024</w:t>
      </w:r>
    </w:p>
    <w:p>
      <w:r>
        <w:t>Bundesgericht, 2024-05-16, DE</w:t>
      </w:r>
    </w:p>
    <w:p>
      <w:r>
        <w:rPr>
          <w:b/>
        </w:rPr>
        <w:t xml:space="preserve">Quelle: </w:t>
      </w:r>
      <w:r>
        <w:t>https://mcp.opencaselaw.ch/entscheid/bger_7B_246_2024</w:t>
      </w:r>
    </w:p>
    <w:p>
      <w:r>
        <w:t>FR: TF 7B_246/2024 du 16 mai 2024</w:t>
      </w:r>
    </w:p>
    <w:p>
      <w:r>
        <w:t>IT: TF 7B_246/2024 del 16 maggio 2024</w:t>
      </w:r>
    </w:p>
    <w:p>
      <w:pPr>
        <w:pStyle w:val="Heading2"/>
      </w:pPr>
      <w:r>
        <w:t>Erwägungen</w:t>
      </w:r>
    </w:p>
    <w:p>
      <w:r>
        <w:rPr>
          <w:b/>
        </w:rPr>
        <w:t>E. 1</w:t>
      </w:r>
    </w:p>
    <w:p>
      <w:r>
        <w:t>Angefochten ist ein Entscheid in einer Strafsache ( Art. 78 Abs. 1 BGG ) einer letzten kantonalen Instanz im Sinne von Art. 80 Abs. 1 und 2 BGG . Dieser schliesst das Strafverfahren gegen den Beschwerdeführer indessen nicht ab und betrifft weder die Zuständigkeit noch den Ausstand im Sinne von Art. 92 BGG . Demnach ist er gemäss Art. 93 Abs. 1 lit. a BGG nur dann unmittelbar mit Beschwerde an das Bundesgericht anfechtbar, wenn er einen nicht wieder gutzumachenden Nachteil bewirken kann. Dies ist bei der vorliegenden Abweisung eines Gesuchs um Gewährung der amtlichen Verteidigung der Fall ( BGE 140 IV 202 E. 2.2; 133 IV 335 E. 4; Urteile 7B_213/2024 vom 12. April 2023 E. 1.3; 7B_201/2022 vom 6. November 2023 E. 1.3; je mit Hinweisen). Da auch die weiteren Sachurteilsvoraussetzungen gegeben sind, ist auf die Beschwerde einzutreten.</w:t>
      </w:r>
    </w:p>
    <w:p>
      <w:r>
        <w:rPr>
          <w:b/>
        </w:rPr>
        <w:t>E. 2.1</w:t>
      </w:r>
    </w:p>
    <w:p>
      <w:r>
        <w:t>Der Beschwerdeführer rügt in formeller Hinsicht, die Vorinstanz hätte die Verfügung der Staatsanwaltschaft vom 14. März 2023 nicht zu seinen Ungunsten abändern dürfen. Dieses Vorgehen verstosse gegen das Verschlechterungsverbot gemäss Art. 391 Abs. 2 StPO . Unabhängig davon hätte die Vorinstanz ihn jedenfalls vorgängig darauf aufmerksam machen müssen, dass sie in Betracht zieht, die Einsetzung der amtlichen Verteidigung als solche vollumfänglich aufzuheben, und ihm dadurch Gelegenheit geben, sich dazu zu äussern.</w:t>
      </w:r>
    </w:p>
    <w:p>
      <w:r>
        <w:rPr>
          <w:b/>
        </w:rPr>
        <w:t>E. 2.2</w:t>
      </w:r>
    </w:p>
    <w:p>
      <w:r>
        <w:t>Gemäss Art. 391 StPO ist die Rechtsmittelinstanz bei ihrem Entscheid nicht gebunden an: a. die Begründungen der Parteien; b. die Anträge der Parteien, ausser wenn sie Zivilklagen beurteilt (Abs. 1). Sie darf Entscheide nicht zum Nachteil der beschuldigten oder verurteilten Person abändern, wenn das Rechtsmittel nur zu deren Gunsten ergriffen worden ist; vorbehalten bleibt eine strengere Bestrafung aufgrund von Tatsachen, die dem erstinstanzlichen Gericht nicht bekannt sein konnten (Abs. 2). Sie darf Entscheide im Zivilpunkt nicht zum Nachteil der Privatklägerschaft abändern, wenn nur von dieser ein Rechtsmittel ergriffen worden ist (Abs. 3).</w:t>
      </w:r>
    </w:p>
    <w:p>
      <w:r>
        <w:t>Das Bundesgericht hat in seiner Rechtsprechung wiederholt dargelegt, dass das sogenannte Verschlechterungsverbot oder Verbot der reformatio in peius gemäss Art. 391 Abs. 2 StPO bei Beschwerden gegen prozessuale Anordnungen nach Art. 393 StPO keine Anwendung findet. Das Verbot soll im Strafrecht nämlich sicherstellen, dass die angeklagte oder verurteilte Person ihr Rechtsmittelrecht ausüben kann, ohne Gefahr zu laufen, dass das Urteil über die Straf- oder Zivilklage zu ihrem Nachteil geändert wird (siehe Urteile 1B_188/2021 vom 18. Mai 2021 E. 3; 1B_189/2016 vom 13. Juni 2016 E. 3; je mit Hinweisen zum Meinungsstand in der Lehre). In anderen Urteilen hat das Bundesgericht dagegen präzisiert, dass das Verbot auch dann verletzt ist, wenn die</w:t>
      </w:r>
    </w:p>
    <w:p>
      <w:r>
        <w:t>Kosten- und Entschädigungsregelung zum Nachteil des Rechtsmittelklägers bzw. der Rechtsmittelklägerin geändert wird (Urteile 6B_1053/2021 vom 6. Juli 2023 E. 2.2; 6B_478/2015 vom 12. Februar 2016 E. 1.4; 6B_1046/2013 vom 14. Mai 2014 E. 2.3). Gemäss einem amtlich publizierten Urteil greift das Verbot schliesslich ebenfalls, wenn der amtliche Verteidiger Beschwerde gegen die Festsetzung seiner Entschädigung erhebt ( BGE 149 IV 91 E. 4.1.4 mit Hinweisen).</w:t>
      </w:r>
    </w:p>
    <w:p>
      <w:r>
        <w:rPr>
          <w:b/>
        </w:rPr>
        <w:t>E. 2.3</w:t>
      </w:r>
    </w:p>
    <w:p>
      <w:r>
        <w:t>Mit Blick auf diese Rechtsprechung geht die Vorinstanz zu Recht davon aus, dass sie gemäss Art. 391 Abs. 1 lit. b StPO die angefochtene Verfügung grundsätzlich zu Ungunsten des Beschwerdeführers abändern darf. Beabsichtigt eine Behörde jedoch, auf ein Rechtsmittel hin eine reformatio in peius vorzunehmen, d.h. die fragliche Verfügung zuungunsten einer Partei zu ändern, hat sie die betroffene Partei vorgängig darauf aufmerksam zu machen und ihr Gelegenheit zu einer Stellungnahme einzuräumen. Dadurch hat die von der Verschlechterung bedrohte beschwerdeführende Partei die Möglichkeit, ihr Rechtsmittel zurückzuziehen und damit den in Aussicht stehenden ungünstigen Entscheid abzuwenden. Dieser Grundsatz, der für das verwaltungsrechtliche Beschwerdeverfahren in Art. 62 Abs. 3 VwVG ausdrücklich verankert ist, fliesst direkt aus der verfassungsrechtlichen Garantie des rechtlichen Gehörs gemäss Art. 29 Abs. 2 BV ( BGE 131 V 414 E. 1; 129 II 385 E. 4.4.3; 122 V 166 E. 2a; Urteil 9C_440/2020 vom 25. Mai 2021 E. 4.2.1, nicht publ. in 147 V 259; teils mit weiteren Hinweisen) und gilt daher auch im Beschwerdeverfahren nach der Strafprozessordnung (siehe Art. 3 Abs. 2 lit. c StPO ; BGE 146 IV 172 E. 3.4.2; Urteil 6B_652/2023 vom 11. Dezember 2023 E. 5.3.1; je mit Hinweis).</w:t>
      </w:r>
    </w:p>
    <w:p>
      <w:r>
        <w:rPr>
          <w:b/>
        </w:rPr>
        <w:t>E. 2.4</w:t>
      </w:r>
    </w:p>
    <w:p>
      <w:r>
        <w:t>Die Vorinstanz war demnach nicht befugt, die Verfügung der Staatsanwaltschaft vom 14. März 2023 in (teilweiser) "Gutheissung" der Beschwerde aufzuheben und durch einen für den Beschwerdeführer ungünstigeren Entscheid zu ersetzen, ohne diesen vorgängig auf diese Möglichkeit aufmerksam zu machen und ihm Gelegenheit zur Stellungnahme einzuräumen. Daran ändert entgegen der Auffassung der Vorinstanz nichts, dass die Beschwerdegegnerin in ihrer Vernehmlassung vom 12. April 2023 ausgeführt hatte, die angefochtene Verfügung sei "zugegebenermassen bundesrechtswidrig, wenn auch in genau gegenteiliger Richtung, als der Beschwerdeführer dies geltend macht", da die Voraussetzungen der Anordnung der amtlichen Verteidigung "weder per Datum der Stellung des Antrags noch per Datum der angefochtenen Verfügung" erfüllt gewesen seien. Darin, dass sie dem Beschwerdeführer diese Eingabe zustellte und ihm eine Frist zur Replik ansetzte, ist kein "Wink mit dem Zaunpfahl" zu erkennen, wie die Vorinstanz meint. Ihr Vorgehen verletzt Art. 29 Abs. 2 BV und Art. 3 Abs. 2 lit. c StPO .</w:t>
      </w:r>
    </w:p>
    <w:p>
      <w:r>
        <w:rPr>
          <w:b/>
        </w:rPr>
        <w:t>E. 3</w:t>
      </w:r>
    </w:p>
    <w:p>
      <w:r>
        <w:t>Die Beschwerde ist gutzuheissen, der angefochtene Entscheid aufzuheben und die Sache zur weiteren Instruktion im Sinne der Erwägungen und gegebenenfalls zur neuen Entscheidung an die Vorinstanz zurückzuweisen. Der Kanton Obwalden trägt keine Gerichtskosten ( Art. 66 Abs. 4 BGG ), hat den Beschwerdeführer aber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