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244/2023 vom 18. Juli 2023</w:t>
      </w:r>
    </w:p>
    <w:p>
      <w:r>
        <w:t>Bundesgericht, 2023-07-18, DE</w:t>
      </w:r>
    </w:p>
    <w:p>
      <w:r>
        <w:rPr>
          <w:b/>
        </w:rPr>
        <w:t xml:space="preserve">Quelle: </w:t>
      </w:r>
      <w:r>
        <w:t>https://mcp.opencaselaw.ch/entscheid/bger_7B_244_2023</w:t>
      </w:r>
    </w:p>
    <w:p>
      <w:r>
        <w:t>FR: TF 7B 244/2023 du 18 juillet 2023</w:t>
      </w:r>
    </w:p>
    <w:p>
      <w:r>
        <w:t>IT: TF 7B 244/2023 del 18 luglio 2023</w:t>
      </w:r>
    </w:p>
    <w:p>
      <w:pPr>
        <w:pStyle w:val="Heading2"/>
      </w:pPr>
      <w:r>
        <w:t>Regeste</w:t>
      </w:r>
    </w:p>
    <w:p>
      <w:r>
        <w:t>Kostenerlassgesuch; Nichteintreten | Strafprozess</w:t>
      </w:r>
    </w:p>
    <w:p>
      <w:pPr>
        <w:pStyle w:val="Heading2"/>
      </w:pPr>
      <w:r>
        <w:t>Erwägungen</w:t>
      </w:r>
    </w:p>
    <w:p>
      <w:r>
        <w:rPr>
          <w:b/>
        </w:rPr>
        <w:t>E. 1</w:t>
      </w:r>
    </w:p>
    <w:p>
      <w:r>
        <w:t>Mit Eingabe vom 30. Mai 2023 ersuchte A.________ beim Obergericht des Kantons Bern um Erlass der ihm mit Beschluss desselben Gerichts vom 17. Januar 2023 auferlegten Verfahrenskosten von Fr. 600.--. Zur Begründung führte er aus, wie sich aus den von ihm eingereichten Unterlagen ergebe, sei er prozessarm. Mit Verfügung vom 6. Juni 2023 wies die Verfahrensleitung der zuständigen Kammer des Obergerichts das Erlassgesuch ab.</w:t>
      </w:r>
    </w:p>
    <w:p>
      <w:r>
        <w:rPr>
          <w:b/>
        </w:rPr>
        <w:t>E. 2</w:t>
      </w:r>
    </w:p>
    <w:p>
      <w:r>
        <w:t>A.________ gelangt mit vom 18. Juni 2023 datierter Eingabe ans Bundesgericht und beantragt sinngemäss, die angefochtene Verfügung des Obergerichts sei aufzuheben und seinem Gesuch um Kostenerlass sei stattzugeben.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hat dargelegt, aus den mit dem Erlassgesuch des Beschwerdeführers eingereichten Unterlagen ergebe sich nicht, dass sich seine finanzielle Situation seit dem dem Erlassgesuch zugrundeliegenden Beschluss der Vorinstanz vom 17. Januar 2023 massgeblich verschlechtert habe, so dass ihm nicht möglich wäre, die Verfahrenskosten von Fr. 600.-- zumindest ratenweise zu bezahlen. Immerhin gehe aus dem Sozialhilfebudget hervor, dass der Beschwerdeführer in einer Mietwohnung wohne, welche über dem von der Sozialhilfe finanzierten Betrag liege, und sei er offenbar in der Lage, diesen Mehrbetrag selber zu bezahlen. Allein der Umstand, dass er Sozialhilfegelder und IV-Leistungen beziehe, lasse im Übrigen nicht ohne Weiteres darauf schliessen, dass er nicht über ausreichend Einkommen verfüge. Indem der Beschwerdeführer keine Unterlagen eingereicht habe, welche eine massgebliche Verschlechterung seiner finanziellen Situation dokumentieren würden, komme er seiner Mitwirkungspflicht nicht hinreichend nach. Ihm stehe es indes frei, schriftlich ein Gesuch um ratenweise Tilgung der Verfahrenskosten zu stellen.</w:t>
      </w:r>
    </w:p>
    <w:p>
      <w:r>
        <w:rPr>
          <w:b/>
        </w:rPr>
        <w:t>E. 4.2</w:t>
      </w:r>
    </w:p>
    <w:p>
      <w:r>
        <w:t>Was der Beschwerdeführer vor Bundesgericht dagegen vorbringt, ist nicht geeignet darzutun, inwiefern und weshalb die angefochtene Verfügung Bundesrecht verletzen sollte. Soweit er sich überhaupt mit der angefochtenen Verfügung auseinandersetzt, vermag er insbesondere nicht in einer den Formerfordernissen genügenden Weise aufzuzeigen, dass und inwiefern die Vorinstanz eine unzumutbare Härte oder die Uneinbringlichkeit in willkürlicher Weise verneint haben sollte. Die Ausführungen in der Beschwerde geben vielmehr einzig die Sicht des Beschwerdeführers auf die Sach- und Rechtslage wieder und erschöpfen sich damit in einer unzulässigen appellatorischen Kritik an der angefochtenen Verfügung.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dem Beschwerdeführer aufzuerlegen ( Art. 66 Abs. 1 BGG ). Dessen implizites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