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7B_240/2023 vom 18. August 2023</w:t>
      </w:r>
    </w:p>
    <w:p>
      <w:r>
        <w:t>Bundesgericht, 2023-08-18, DE</w:t>
      </w:r>
    </w:p>
    <w:p>
      <w:r>
        <w:rPr>
          <w:b/>
        </w:rPr>
        <w:t xml:space="preserve">Quelle: </w:t>
      </w:r>
      <w:r>
        <w:t>https://mcp.opencaselaw.ch/entscheid/bger_7B_240_2023</w:t>
      </w:r>
    </w:p>
    <w:p>
      <w:r>
        <w:t>FR: TF 7B_240/2023 du 18 août 2023</w:t>
      </w:r>
    </w:p>
    <w:p>
      <w:r>
        <w:t>IT: TF 7B_240/2023 del 18 agosto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6B_309/2022 vom 22. Februar 2023 E. 1.1; 6B_1229/2021 vom 17. Januar 2022 E. 4.1; je mit Hinweisen). Letzteres kann etwa dann gegeben sein, wenn das angestrengte Strafverfahren ein angebliches Delikt gegen Leib oder Leben oder gegen die sexuelle Integrität zum Gegenstand hat.</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BGE 146 IV 76 E. 3.1, publ. in: Pra 109 [2020] Nr. 89; 128 IV 188 E. 2.2; Urteil 6B_1301/2021 vom 9. März 2023 E. 1.1; je mit Hinweisen).</w:t>
      </w:r>
    </w:p>
    <w:p>
      <w:r>
        <w:rPr>
          <w:b/>
        </w:rPr>
        <w:t>E. 1.2</w:t>
      </w:r>
    </w:p>
    <w:p>
      <w:r>
        <w:t>Die Beschwerde an das Bundesgericht ist zu begründen ( Art. 42 Abs. 1 BGG ). In der Begründung ist in gedrängter Form darzulegen, inwiefern der angefochtene Akt Recht verletzt ( Art. 42 Abs. 2 BGG ). Die Begründung muss sachbezogen sein und erkennen lassen, dass und weshalb nach Auffassung der Beschwerdeführer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Die Begründung muss in der Beschwerde selber enthalten sein ( Art. 42 Abs. 1 BGG ). Wird die Verletzung von Grundrechten, einschliesslich Willkür, behauptet, besteht eine qualifizierte Begründungspflicht (Art. 97 Abs. 1 i.V.m. Art. 106 Abs. 2 BGG ; BGE 148 IV 39 E. 2.3.5). Auf ungenügend begründete Rügen tritt das Bundesgericht nicht ein ( BGE 147 IV 73 E. 4.1.2).</w:t>
      </w:r>
    </w:p>
    <w:p>
      <w:r>
        <w:rPr>
          <w:b/>
        </w:rPr>
        <w:t>E. 1.3</w:t>
      </w:r>
    </w:p>
    <w:p>
      <w:r>
        <w:t>Der Beschwerdeführer beschränkt sich im Bezug auf seine Beschwerdelegitimation darauf, auszuführen, er habe am Verfahren vor der Vorinstanz als Beschwerdeführer teilgenommen, womit er ohne Weiteres zur Beschwerde legitimiert sei. Er beruft sich dabei ausdrücklich auf Art. 81 Abs. 1 lit. a BGG . Dies ist zutreffend, der Beschwerdeführer hat einen Strafantrag gestellt, sich als Privatkläger konstituiert und war als Beschwerdeführer am vorinstanzlichen Verfahren beteiligt.</w:t>
      </w:r>
    </w:p>
    <w:p>
      <w:r>
        <w:t>Der Beschwerdeführer äussert sich nicht zur kumulativen Voraussetzung nach Art. 81 Abs. 1 lit. b BGG , dem rechtlich geschützten Interesse. Als Privatkläger könnte für ihn Ziff. 5 der angeführten Bestimmung zur Anwendung gelangen. Gestützt worauf jedoch ein allfälliger Schadenersatz- oder Genugtuungsanspruch bestehen soll, welcher ihm aufgrund der angeblichen Straftat zustehen und auf die sich der angefochtene Entscheid auswirken könnte, legt der Beschwerdeführer nicht dar. Dies ist aufgrund der Natur der untersuchten Straftat auch nicht ersichtlich. Im Vordergrund könnten Genugtuungsansprüche wegen der zur Anzeige gebrachten angeblichen Ehrverletzung im Sinne von Art. 173 StGB stehen. Dabei stellte sich jedoch die Frage, ob und durch welche konkreten Umstände der Beschwerdeführer durch das angebliche Delikt eine rechtlich erhebliche seelische Unbill erlitten haben soll. Denn Genugtuungsansprüche bestehen nur, wenn es die Schwere der Verletzung rechtfertigt; der Eingriff muss aussergewöhnlich schwer wiegen und in seinen Auswirkungen das Mass einer Aufregung oder einer alltäglichen Sorge deutlich übersteigen. Der Beschwerdeführer äussert sich nicht dazu und setzt sich auch sonst nicht mit der einschlägigen bundesgerichtlichen Rechtsprechung zur Beschwerdelegitimation nach Art. 81 Abs. 1 lit. b Ziff. 5 BGG auseinander. Die Beschwerde vermag damit den Begründungsanforderungen nicht zu genügen.</w:t>
      </w:r>
    </w:p>
    <w:p>
      <w:r>
        <w:rPr>
          <w:b/>
        </w:rPr>
        <w:t>E. 1.4</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Urteil 6B_574/2022 vom 15. Juni 2022 E. 3.1;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1.5</w:t>
      </w:r>
    </w:p>
    <w:p>
      <w:r>
        <w:t>Die Eingabe vom 18. Juli 2023, mit welcher der Beschwerdeführer eine von Forschungsinstitut gfs.bern durchgeführte Untersuchung (datiert mit "13 juillet 2023 (deuxième version))" zu seiner Bekanntheit einreicht und aus dieser ableiten will, dass er sowohl in der Deutschschweiz als auch in der Romandie kaum bekannt sei und der Raiffeisen-Prozess keinen messbaren Einfluss auf seine Bekanntheit gehabt habe, ist verspätet und damit unbeachtlich (vgl. Art. 99 Abs. 1 und Art. 100 Abs. 1 BGG ).</w:t>
      </w:r>
    </w:p>
    <w:p>
      <w:r>
        <w:rPr>
          <w:b/>
        </w:rPr>
        <w:t>E. 2</w:t>
      </w:r>
    </w:p>
    <w:p>
      <w:r>
        <w:t>Auf die Beschwerde ist mangels (hinreichender Begründung der) Legitimation im Verfahren nach Art. 108 BGG nicht einzutreten.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