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7B_23/2026 vom 26. Januar 2026</w:t>
      </w:r>
    </w:p>
    <w:p>
      <w:r>
        <w:t>Bundesgericht, 2026-01-26, DE</w:t>
      </w:r>
    </w:p>
    <w:p>
      <w:r>
        <w:rPr>
          <w:b/>
        </w:rPr>
        <w:t xml:space="preserve">Quelle: </w:t>
      </w:r>
      <w:r>
        <w:t>https://mcp.opencaselaw.ch/entscheid/bger_7B_23_2026</w:t>
      </w:r>
    </w:p>
    <w:p>
      <w:r>
        <w:t>FR: TF 7B_23/2026 du 26 janvier 2026</w:t>
      </w:r>
    </w:p>
    <w:p>
      <w:r>
        <w:t>IT: TF 7B_23/2026 del 26 gennaio 2026</w:t>
      </w:r>
    </w:p>
    <w:p>
      <w:pPr>
        <w:pStyle w:val="Heading2"/>
      </w:pPr>
      <w:r>
        <w:t>Erwägungen</w:t>
      </w:r>
    </w:p>
    <w:p>
      <w:r>
        <w:rPr>
          <w:b/>
        </w:rPr>
        <w:t>E. 1.1</w:t>
      </w:r>
    </w:p>
    <w:p>
      <w:r>
        <w:t>Mit Schreiben vom 12. August 2024 ersuchte Rechtsanwalt B.________ die Staatsanwaltschaft Obwalden sinngemäss ihn als amtlichen Verteidiger von A.________ einzusetzen. Die Staatsanwaltschaft wies das Gesuch mit Verfügung vom 22. Januar 2025 ab und verurteilte A.________ gleichentags mit Strafbefehl wegen übler Nachrede, Hausfriedensbruchs, Sachbeschädigung und Ungehorsams gegen amtliche Verfügungen zu einer bedingten Geldstrafe von 100 Tagessätzen zu Fr. 30.-- bei einer Probezeit von 2 Jahren und einer Busse in Höhe von Fr. 1'050.--.</w:t>
      </w:r>
    </w:p>
    <w:p>
      <w:r>
        <w:rPr>
          <w:b/>
        </w:rPr>
        <w:t>E. 1.2</w:t>
      </w:r>
    </w:p>
    <w:p>
      <w:r>
        <w:t>Eine gegen die Abweisung der amtlichen Verteidigung von A.________ erhobene Beschwerde wies das Obergericht des Kantons Obwalden mit Beschluss vom 27. November 2025 ab. Dagegen führt A.________ am 2. Dezember 2025 Beschwerde in Strafsachen an das Bundesgericht.</w:t>
      </w:r>
    </w:p>
    <w:p>
      <w:r>
        <w:rPr>
          <w:b/>
        </w:rPr>
        <w:t>E. 2.1</w:t>
      </w:r>
    </w:p>
    <w:p>
      <w:r>
        <w:t>Gemäss Art. 42 Abs. 2 BGG ist in der Begründung einer Beschwerde ans Bundesgericht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2.2</w:t>
      </w:r>
    </w:p>
    <w:p>
      <w:r>
        <w:t>Der Beschwerdeführer setzt sich nicht hinreichend substanziiert mit der Begründung der Vorinstanz auseinander. Diese begründet ausführlich, warum ihm eine Strafe droht, die unter dem in Art. 132 Abs. 3 StPO vorgegebenen Schwellenwert liegt. Es liege ein Bagatellfall im Sinne von Art. 132 Abs. 3 StPO vor, der weder besondere rechtliche noch tatsächliche Schwierigkeiten biete, denen der Beschwerdeführer nicht gewachsen sei. Der Beschwerdeführer bringt dagegen lediglich vor, er sei juristisch nicht bewandert bzw. überfordert, da er eine geringe Schulbildung gehabt habe. Er macht pauschal geltend, die Fälle bzw. das Strafmass sei nicht als Bagatelle zu bezeichnen, da es klar sei, dass bei seinen finanziellen Verhältnissen nachweislich "Existenzentzug" bei einer Verurteilung drohe. Zudem legt er einzig seine Sichtweise dar. Mit dieser pauschalen, appellatorischen Kritik ohne Bezugnahme auf die Argumentation der Vorinstanz vermag der Beschwerdeführer nicht konkret aufzuzeigen, inwiefern die Begründung der Vorinstanz, die zur Abweisung seines Gesuchs um amtliche Verteidigung geführt hat, rechts- bzw. verfassungswidrig sein soll. Die Beschwerde genügt den vorgenannten gesetzlichen Formerfordernissen offensichtlich nicht, weshalb auf sie im vereinfachten Verfahren nach Art. 108 Abs. 1 lit. b BGG nicht einzutreten ist.</w:t>
      </w:r>
    </w:p>
    <w:p>
      <w:r>
        <w:rPr>
          <w:b/>
        </w:rPr>
        <w:t>E. 3</w:t>
      </w:r>
    </w:p>
    <w:p>
      <w:r>
        <w:t>Bei diesem Ausgang des Verfahrens wird der Beschwerdeführer kostenpflichtig ( Art. 66 Abs. 1 BGG ). Er stellt zwar ein Gesuch um unentgeltliche Rechtspflege, dieses ist jedoch wegen Aussichtslosigkeit der Beschwerde abzuweisen ( Art. 64 BGG ). Den finanziellen Verhältnissen des Beschwerdeführers ist jedoch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