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7B_239/2025 vom 19. September 2025</w:t>
      </w:r>
    </w:p>
    <w:p>
      <w:r>
        <w:t>Bundesgericht, 2025-09-19, DE</w:t>
      </w:r>
    </w:p>
    <w:p>
      <w:r>
        <w:rPr>
          <w:b/>
        </w:rPr>
        <w:t xml:space="preserve">Quelle: </w:t>
      </w:r>
      <w:r>
        <w:t>https://mcp.opencaselaw.ch/entscheid/bger_7B_239_2025</w:t>
      </w:r>
    </w:p>
    <w:p>
      <w:r>
        <w:t>FR: TF 7B_239/2025 du 19 septembre 2025</w:t>
      </w:r>
    </w:p>
    <w:p>
      <w:r>
        <w:t>IT: TF 7B_239/2025 del 19 settembre 2025</w:t>
      </w:r>
    </w:p>
    <w:p>
      <w:pPr>
        <w:pStyle w:val="Heading2"/>
      </w:pPr>
      <w:r>
        <w:t>Erwägungen</w:t>
      </w:r>
    </w:p>
    <w:p>
      <w:r>
        <w:rPr>
          <w:b/>
        </w:rPr>
        <w:t>E. 1.1</w:t>
      </w:r>
    </w:p>
    <w:p>
      <w:r>
        <w:t>Das Bundesgericht prüft seine Zuständigkeit von Amtes wegen ( Art. 29 Abs. 1 BGG ) und beurteilt die Zulässigkeit der bei ihm erhobenen Beschwerden mit freier Kognition ( BGE 150 IV 103 E. 1; 149 IV 9 E. 2; 149 IV 97 E. 1; 148 IV 275 E. 1.1; 146 IV 185 E. 2).</w:t>
      </w:r>
    </w:p>
    <w:p>
      <w:r>
        <w:rPr>
          <w:b/>
        </w:rPr>
        <w:t>E. 1.2</w:t>
      </w:r>
    </w:p>
    <w:p>
      <w:r>
        <w:t>Angefochten ist ein nach Art. 248a StPO kantonal letztinstanzlicher Entscheid eines Zwangsmassnahmengerichts. Dagegen steht gemäss Art. 80 Abs. 2 Satz 3 BGG die Beschwerde in Strafsachen an das Bundesgericht nach Art. 78 bis 81 BGG grundsätzlich offen.</w:t>
      </w:r>
    </w:p>
    <w:p>
      <w:r>
        <w:rPr>
          <w:b/>
        </w:rPr>
        <w:t>E. 1.3.1</w:t>
      </w:r>
    </w:p>
    <w:p>
      <w:r>
        <w:t>Der angefochtene Entsiegelungsentscheid schliesst die gegen den Beschwerdeführer laufende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Dabei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150 IV 103 E. 1.2.1; 148 IV 155 E. 1.1; 144 IV 321 E. 2.3; je mit Hinweisen). Woraus sich der nicht wieder gutzumachende Nachteil ergeben soll, ist in der Beschwerdeschrift darzulegen, sofern es nicht offensichtlich ist ( BGE 150 III 248 E. 1.2; 149 II 170 E. 1.3; 144 III 475 E. 1.2; je mit Hinweisen).</w:t>
      </w:r>
    </w:p>
    <w:p>
      <w:r>
        <w:rPr>
          <w:b/>
        </w:rPr>
        <w:t>E. 1.3.2</w:t>
      </w:r>
    </w:p>
    <w:p>
      <w:r>
        <w:t>Das Siegelungsverfahren dient dem Geheimnisschutz im Hinblick auf eine Durchsuchung von Aufzeichnungen und Gegenständen. Es gelangt daher nur zur Anwendung, wenn von den betroffenen Personen gesetzliche Geheimnisschutzgründe substanziiert angerufen werden. In Frage kommen aufgrund des abschliessenden Verweises von Art. 248 Abs. 1 StPO einzig die in Art. 264 StPO geregelten Geheimnisschutzgründe.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(Urteil 7B_145/2025 vom 25. März 2025 E. 2.2, zur Publikation vorgesehen, mit Hinweisen). Werden dagegen (lediglich) andere Beschlagnahmehindernisse wie insbesondere ein nicht hinreichender Tatverdacht oder ein mangelnder Deliktskonnex geltend gemacht, fehlt es grundsätzlich am nicht wieder gutzumachenden Nachteil (so etwa Urteil 7B_1081/2024 vom 24. Februar 2025 E. 1.2 mit weiteren Hinweisen).</w:t>
      </w:r>
    </w:p>
    <w:p>
      <w:r>
        <w:rPr>
          <w:b/>
        </w:rPr>
        <w:t>E. 1.3.3</w:t>
      </w:r>
    </w:p>
    <w:p>
      <w:r>
        <w:t>Der Beschwerdeführer bringt vor, auf seinem Mobiltelefon befänden sich intime Aufnahmen und Nachrichten, die er mit seinen Ex-Freundinnen ausgetauscht habe. Zudem befänden sich, wie bereits vor Vorinstanz geltend gemacht, weitere "die Persönlichkeit des Beschuldigten betreffende" Nachrichten mit seinen Eltern auf dem Mobiltelefon. Damit drohe ihm ein nicht wiedergutzumachender Nachteil im Sinne von Art. 93 Abs. 1 lit. a BGG , wenn das gesiegelte Mobiltelefon ausgewertet werde, zumal die Offenbarung eines Geheimnisses nicht rückgängig gemacht werden könne.</w:t>
      </w:r>
    </w:p>
    <w:p>
      <w:r>
        <w:rPr>
          <w:b/>
        </w:rPr>
        <w:t>E. 1.3.4</w:t>
      </w:r>
    </w:p>
    <w:p>
      <w:r>
        <w:t>Dieser Argumentation kann nicht gefolgt werden: Zwar ist rechtsprechungsgemäss ohne Weiteres davon auszugehen, dass bei der (vollständigen) Durchsuchung von privat genutzten Smartphones persönliche Aufzeichnungen und Korrespondenz im Sinne von Art. 264 Abs. 1 lit. b StPO tangiert sind. Persönliche Aufzeichnungen und Korrespondenz der beschuldigten Person sind aber gerade nicht absolut geschützt, sondern laut dem Gesetz nur dann, wenn das Interesse am Schutz ihrer Persönlichkeit das Strafverfolgungsinteresse überwiegt. Auf eine Beschwerde gegen die Entsiegelung eines Mobiltelefons kann daher nur dann gestützt auf Art. 264 Abs. 1 lit. b StPO eingetreten werden, wenn die beschwerdeführende Partei dartut oder ohne Weiteres erkennbar ist, dass das Interesse am Schutz ihrer Persönlichkeit gegenüber dem Strafverfolgungsinteresse überwiegen könnte (Urteil 7B_145/2025 vom 25. März 2025 E. 2.7, zur Publikation vorgesehen, mit Hinweisen). Das ist hier nicht der Fall. Die dem Beschwerdeführer zur Last gelegten Delikte wiegen so schwer, dass nicht erkennbar ist, inwiefern mit Bezug auf die Durchsuchung des Mobiltelefons das Interesse am Schutz der Persönlichkeit dem bedeutenden Strafverfolgungsinteresse vorgehen könnte.</w:t>
      </w:r>
    </w:p>
    <w:p>
      <w:r>
        <w:t>Anzufügen bleibt, dass bei der Beurteilung der potentiellen Beweiserheblichkeit nicht geprüft werden muss, ob die als grundsätzlich untersuchungsrelevant erachtete Sicherstellung ihrerseits Teilmengen enthält, die für das Verfahren als irrelevant erscheinen. Es liegt vielmehr in der Natur der Sache, dass bei der Durchsuchung von Aufzeichnungen und Gegenständen auch Inhalte gesichtet werden, die sich in der Folge für die Untersuchung als bedeutungslos erweisen, da eine vorausgehende detaillierte Prüfung aller sichergestellter Aufzeichnungen und Gegenstände durch das Zwangsmassnahmengericht nicht praktikabel wäre. Die Staatsanwaltschaft hat sich bei dieser Durchsuchung indessen von Amtes wegen strikt auf die Suche nach verfahrensrelevanten Inhalten zu beschränken und darf bloss solche formell beschlagnahmen und zu den Verfahrensakten nehmen (Urteil 7B_31/2025 vom 13. August 2025 E. 2.5.3, zur Publikation vorgesehen, mit Hinweisen).</w:t>
      </w:r>
    </w:p>
    <w:p>
      <w:r>
        <w:rPr>
          <w:b/>
        </w:rPr>
        <w:t>E. 1.3.5</w:t>
      </w:r>
    </w:p>
    <w:p>
      <w:r>
        <w:t>Nach dem Gesagten fehlt es an der Eintretensvoraussetzung von Art. 93 Abs. 1 lit. a BGG .</w:t>
      </w:r>
    </w:p>
    <w:p>
      <w:r>
        <w:rPr>
          <w:b/>
        </w:rPr>
        <w:t>E. 2</w:t>
      </w:r>
    </w:p>
    <w:p>
      <w:r>
        <w:t>Auf die Beschwerde ist nicht einzutreten.</w:t>
      </w:r>
    </w:p>
    <w:p>
      <w:r>
        <w:t>Das Gesuch des Beschwerdeführers um unentgeltliche Rechtspflege ist abzuweisen, da sich die Beschwerde als aussichtslos erweist ( Art. 64 Abs. 1 BGG ). Die Gerichtskosten sind dem unterliegenden Beschwerdeführer aufzuerlegen ( Art. 66 Abs. 1 BGG ). Dessen finanzieller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