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7B_235/2022 vom 13. Dezember 2023</w:t>
      </w:r>
    </w:p>
    <w:p>
      <w:r>
        <w:t>Bundesgericht, 2023-12-13, DE</w:t>
      </w:r>
    </w:p>
    <w:p>
      <w:r>
        <w:rPr>
          <w:b/>
        </w:rPr>
        <w:t xml:space="preserve">Quelle: </w:t>
      </w:r>
      <w:r>
        <w:t>https://mcp.opencaselaw.ch/entscheid/bger_7B_235_2022</w:t>
      </w:r>
    </w:p>
    <w:p>
      <w:r>
        <w:t>FR: TF 7B_235/2022 du 13 décembre 2023</w:t>
      </w:r>
    </w:p>
    <w:p>
      <w:r>
        <w:t>IT: TF 7B_235/2022 del 13 dicembre 2023</w:t>
      </w:r>
    </w:p>
    <w:p>
      <w:pPr>
        <w:pStyle w:val="Heading2"/>
      </w:pPr>
      <w:r>
        <w:t>Erwägungen</w:t>
      </w:r>
    </w:p>
    <w:p>
      <w:r>
        <w:rPr>
          <w:b/>
        </w:rPr>
        <w:t>E. 1.1</w:t>
      </w:r>
    </w:p>
    <w:p>
      <w:r>
        <w:t>Der Beschwerdeführer wurde von der letzten kantonalen Instanz strafrechtlich verurteilt und führt fristgerecht Beschwerde in Strafsachen an das Bundesgericht (Art. 78 Abs. 1, Art. 80 Abs. 1, Art. 81 Abs. 1 lit. a und lit. b Ziff. 1, Art. 90, Art. 100 Abs. 1 BGG ).</w:t>
      </w:r>
    </w:p>
    <w:p>
      <w:r>
        <w:rPr>
          <w:b/>
        </w:rPr>
        <w:t>E. 1.2</w:t>
      </w:r>
    </w:p>
    <w:p>
      <w:r>
        <w:t>Der Beschwerdeführer macht eine willkürliche Feststellung des Sachverhalts hinsichtlich sämtlicher Straftatbestände geltend, für welche er verurteilt wurde.</w:t>
      </w:r>
    </w:p>
    <w:p>
      <w:r>
        <w:rPr>
          <w:b/>
        </w:rPr>
        <w:t>E. 1.3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1.4</w:t>
      </w:r>
    </w:p>
    <w:p>
      <w:r>
        <w:t>Der Beschwerdeführer begnügt sich damit, einzelne Sachverhaltselemente zu bestreiten (Beschwerde S. 4: ein Nachweis für eine Absprache zwischen den Eheleuten fehle; er habe sein Vermögen nicht vermindert; Beschwerde S. 5: er sei nicht Organ und auch nicht faktisches Organ der C.________ GmbH gewesen), ohne Bezug auf das angefochtene Urteil zu nehmen. Dies genügt den Begründungsanforderungen nach Art. 42 Abs. 2 BGG nicht ( BGE 146 IV 297 E. 1.2; 140 III 115 E. 2). Die Begründung der Beschwerde muss zudem in der Beschwerdeschrift selbst enthalten sein. Der blosse Verweis auf Ausführungen in anderen Rechtsschriften oder auf die Akten reicht nicht aus ( BGE 143 IV 122 E. 3.3). Auf die Beschwerde ist insoweit nicht einzutreten.</w:t>
      </w:r>
    </w:p>
    <w:p>
      <w:r>
        <w:rPr>
          <w:b/>
        </w:rPr>
        <w:t>E. 2</w:t>
      </w:r>
    </w:p>
    <w:p>
      <w:r>
        <w:t>Soweit der Beschwerdeführer aus seinen Ausführungen, er sei weder formelles noch faktisches Organ der C.________ GmbH gewesen, eine Rechtsverletzung ableiten will, was aus seiner Beschwerde jedoch nicht genau hervorgeht, ist seiner Rüge kein Erfolg beschieden. Die Vorinstanz nennt die hierfür erforderlichen Elemente, welche auf seine Organstellung in der GmbH schliessen lassen (angefochtenes Urteil S. 26 f.: er kannte sich mit fachlichen Dingen aus, akquirierte Aufträge, pflegte Kundenkontakte und koordinierte Baustelleneinsätze und Mitarbeiter, hatte Zugriff auf die Finanzen der GmbH, sagte selbst aus, er habe das "sagen" gehabt).</w:t>
      </w:r>
    </w:p>
    <w:p>
      <w:r>
        <w:rPr>
          <w:b/>
        </w:rPr>
        <w:t>E. 3</w:t>
      </w:r>
    </w:p>
    <w:p>
      <w:r>
        <w:t>Die Beschwerde ist abzuweisen, soweit überhaupt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