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7B_233/2023 vom 8. Dezember 2023</w:t>
      </w:r>
    </w:p>
    <w:p>
      <w:r>
        <w:t>Bundesgericht, 2023-12-08, DE</w:t>
      </w:r>
    </w:p>
    <w:p>
      <w:r>
        <w:rPr>
          <w:b/>
        </w:rPr>
        <w:t xml:space="preserve">Quelle: </w:t>
      </w:r>
      <w:r>
        <w:t>https://mcp.opencaselaw.ch/entscheid/bger_7B_233_2023</w:t>
      </w:r>
    </w:p>
    <w:p>
      <w:r>
        <w:t>FR: TF 7B_233/2023 du 8 décembre 2023</w:t>
      </w:r>
    </w:p>
    <w:p>
      <w:r>
        <w:t>IT: TF 7B_233/2023 del 8 dicembre 2023</w:t>
      </w:r>
    </w:p>
    <w:p>
      <w:pPr>
        <w:pStyle w:val="Heading2"/>
      </w:pPr>
      <w:r>
        <w:t>Erwägungen</w:t>
      </w:r>
    </w:p>
    <w:p>
      <w:r>
        <w:rPr>
          <w:b/>
        </w:rPr>
        <w:t>E. 1</w:t>
      </w:r>
    </w:p>
    <w:p>
      <w:r>
        <w:t>Die Beschwerde in Strafsachen vom 30. Mai 2023 gegen den Entscheid des Obergerichts des Kantons Thurgau vom 15. Februar 2023 wurde am 4. Dezember 2023 zurückgezogen. Das Verfahren ist folglich in Anwendung von Art. 32 Abs. 2 BGG durch den Instruktionsrichter als Einzelrichter als erledigt abzuschreiben ( Art. 71 BGG i.V.m. Art. 73 BZP ).</w:t>
      </w:r>
    </w:p>
    <w:p>
      <w:r>
        <w:rPr>
          <w:b/>
        </w:rPr>
        <w:t>E. 2</w:t>
      </w:r>
    </w:p>
    <w:p>
      <w:r>
        <w:t>Entsprechend dem Verfahrensausgang haben die Beschwerdeführer die Gerichtskosten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