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7B_232/2025 vom 30. April 2025</w:t>
      </w:r>
    </w:p>
    <w:p>
      <w:r>
        <w:t>Bundesgericht, 2025-04-30, DE</w:t>
      </w:r>
    </w:p>
    <w:p>
      <w:r>
        <w:rPr>
          <w:b/>
        </w:rPr>
        <w:t xml:space="preserve">Quelle: </w:t>
      </w:r>
      <w:r>
        <w:t>https://mcp.opencaselaw.ch/entscheid/bger_7B_232_2025</w:t>
      </w:r>
    </w:p>
    <w:p>
      <w:r>
        <w:t>FR: TF 7B_232/2025 du 30 avril 2025</w:t>
      </w:r>
    </w:p>
    <w:p>
      <w:r>
        <w:t>IT: TF 7B_232/2025 del 30 aprile 2025</w:t>
      </w:r>
    </w:p>
    <w:p>
      <w:pPr>
        <w:pStyle w:val="Heading2"/>
      </w:pPr>
      <w:r>
        <w:t>Erwägungen</w:t>
      </w:r>
    </w:p>
    <w:p>
      <w:r>
        <w:rPr>
          <w:b/>
        </w:rPr>
        <w:t>E. 1</w:t>
      </w:r>
    </w:p>
    <w:p>
      <w:r>
        <w:t>Die Staatsanwaltschaft, Amt der Region Oberwallis, verfügte am 24. Januar 2025 ohne Kosten- und Entschädigungsfolgen ein Strafverfahren, welches die Beschwerdeführerin wegen eines Beziehungskonflikts anstrengen wollte, nicht an Hand zu nehmen. Die Beschwerdeführerin wandte sich dagegen mit Eingaben vom 30. und 31. Januar 2025 an die Staatsanwaltschaft, welche diese am 4. Februar 2025 dem Kantonsgericht des Kantons Wallis weiterleitete. Auf Nachfrage des Kantonsgerichts, ob es sich bei den Eingaben um eine Beschwerde handle, gelangte die Beschwerdeführerin mit einer weiteren Eingabe vom 10. Februar 2025 ans Kantonsgericht. Die Staatsanwaltschaft übermittelte dem Kantonsgericht zudem zwei weitere Eingaben der Beschwerdeführerin vom 17. und 20. Februar 2025. Das Kantonsgericht trat mit Verfügung vom 7. März 2025 ohne Kosten- und Entschädigungsfolgen nicht auf die Eingaben der Beschwerdeführerin vom 30. und 31. Januar 2025 sowie vom 10., 17. und 20. Februar 2025 ein. Dagegen gelangt die Beschwerdeführerin mit Beschwerde in Strafsachen vom 11. März 2025 (Postaufgabe) ans Bundesgericht. Die Beschwerdeführerin gelangte mit weiteren Eingaben ans Bundesgericht: am 18. und 31. März 2025 (Postaufgabe).</w:t>
      </w:r>
    </w:p>
    <w:p>
      <w:r>
        <w:t>Die ungesichert zugestellte E-Mail vom 16. April 2025 (ohne anerkannte elektronische Signatur und ohne Verwendung einer anerkannten Zustellplattform) ist von vornherein unbeachtlich (siehe Art. 42 Abs. 4 BGG in Verbindung mit dem Reglement des Bundesgerichts über den elektronischen Rechtsverkehr mit Parteien und Vorinstanzen [SR 173.110.29]).</w:t>
      </w:r>
    </w:p>
    <w:p>
      <w:r>
        <w:rPr>
          <w:b/>
        </w:rPr>
        <w:t>E. 2</w:t>
      </w:r>
    </w:p>
    <w:p>
      <w:r>
        <w:t>Gegenstand des bundesgerichtlichen Verfahrens ist ausschliesslich die angefochtene Verfügung des Kantonsgerichts vom 7. März 2025 (vgl. Art. 80 Abs. 1, Art. 90 BGG ). Soweit die Beschwerdeführerin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4</w:t>
      </w:r>
    </w:p>
    <w:p>
      <w:r>
        <w:t>Die Beschwerdeführerin legt die Beschwerdelegitimation bzw. einen ihr allenfalls zustehenden Zivilanspruch im Sinne von Art. 81 Abs. 1 lit. b Ziff. 5 BGG nicht ansatzweise dar. Zudem begründet sie nicht, weshalb die angefochtene Verfügung in tatsächlicher oder rechtlicher Hinsicht fehlerhaft sein sollte. Die kaum nachvollziehbaren Ausführungen in der Beschwerdeschrift setzen sich nicht materiell mit den vorinstanzlichen Erwägungen auseinander, sondern werden von der Beschwerdeführerin lediglich zum Anlass genommen um darzulegen, wie sich der Sachverhalt aus ihrer Sicht zugetragen habe und welche rechtlichen Folgen sich daraus ergeben sollten. Insgesamt vermag die Beschwerde den Begründungsanforderungen offensichtlich nicht zu genügen.</w:t>
      </w:r>
    </w:p>
    <w:p>
      <w:r>
        <w:rPr>
          <w:b/>
        </w:rPr>
        <w:t>E. 5</w:t>
      </w:r>
    </w:p>
    <w:p>
      <w:r>
        <w:t>Die Beschwerdeführerin rügt ferner keine Verletzung von Verfahrensrechten, deren Missachtung einer formellen Rechtsverweigerung gleichkommen würde und von der Prüfung der Sache getrennt werden könnte ("Star-Praxis"; BGE 146 IV 76 E. 2; 141 IV 1 E. 1.1).</w:t>
      </w:r>
    </w:p>
    <w:p>
      <w:r>
        <w:rPr>
          <w:b/>
        </w:rPr>
        <w:t>E. 6</w:t>
      </w:r>
    </w:p>
    <w:p>
      <w:r>
        <w:t>Auf die Beschwerde ist im Verfahren nach Art. 108 BGG nicht einzutreten. 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