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7B_230/2026 vom 18. März 2026</w:t>
      </w:r>
    </w:p>
    <w:p>
      <w:r>
        <w:t>Bundesgericht, 2026-03-18, IT</w:t>
      </w:r>
    </w:p>
    <w:p>
      <w:r>
        <w:rPr>
          <w:b/>
        </w:rPr>
        <w:t xml:space="preserve">Quelle: </w:t>
      </w:r>
      <w:r>
        <w:t>https://mcp.opencaselaw.ch/entscheid/bger_7B_230_2026</w:t>
      </w:r>
    </w:p>
    <w:p>
      <w:r>
        <w:t>FR: TF 7B_230/2026 du 18 mars 2026</w:t>
      </w:r>
    </w:p>
    <w:p>
      <w:r>
        <w:t>IT: TF 7B_230/2026 del 18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ricorso del 23 febbraio 2026 (data di ricezione), A.________ è insorto al Tribunale federale contro la decisione emanata il 5 febbraio 2026 dal Presidente della Corte dei reclami penali del Tribunale d'appello del Cantone Ticino.</w:t>
      </w:r>
    </w:p>
    <w:p>
      <w:r>
        <w:rPr>
          <w:b/>
        </w:rPr>
        <w:t>E. 2</w:t>
      </w:r>
    </w:p>
    <w:p>
      <w:r>
        <w:t>Giusta l' art. 42 cpv. 1 LTF , gli atti scritti devono contenere le conclusioni, i motivi e l'indicazione dei mezzi di prova ed essere firmati.</w:t>
      </w:r>
    </w:p>
    <w:p>
      <w:r>
        <w:rPr>
          <w:b/>
        </w:rPr>
        <w:t>E. 3</w:t>
      </w:r>
    </w:p>
    <w:p>
      <w:r>
        <w:t>Constatata l'assenza di una firma apposta di proprio pugno sul ricorso, con decreto del 24 febbraio 2026 l'impugnativa è stata ritornata al ricorrente, con l'invito a sanare il vizio entro il 13 marzo 2026 e l'avvertenza che in caso di inosservanza l'atto scritto non sarebbe stato preso in considerazione ( art. 42 cpv. 5 LTF ).</w:t>
      </w:r>
    </w:p>
    <w:p>
      <w:r>
        <w:rPr>
          <w:b/>
        </w:rPr>
        <w:t>E. 4</w:t>
      </w:r>
    </w:p>
    <w:p>
      <w:r>
        <w:t>Entro il termine assegnato, il ricorrente non ha trasmesso al Tribunale federale un esemplare dell'atto di ricorso con firma autografa. Si è invece limitato a inviare un ulteriore scritto redatto in lingua inglese, pervenuto al Tribunale federale il 9 marzo 2026. Per tale motivo, il ricorso dev'essere dichiarato manifestamente inammissibile mediante la procedura semplificata dell' art. 108 cpv. 1 lett. a LTF .</w:t>
      </w:r>
    </w:p>
    <w:p>
      <w:r>
        <w:rPr>
          <w:b/>
        </w:rPr>
        <w:t>E. 5</w:t>
      </w:r>
    </w:p>
    <w:p>
      <w:r>
        <w:t>Per abbondanza si rileva che il ricorso sarebbe stato dichiarato inammissibile in virtù dell' art. 108 cpv. 1 lett. b LTF anche in presenza di una firma autografa, ritenuto che il ricorrente non si è confrontato minimamente con la motivazione con la quale il Presidente della Corte cantonale ha dichiarato irricevibile il reclamo ( art. 42 cpv. 2 LTF ; v. DTF 150 I 183 consid. 2.1; sentenza 7B_97/2026 del 9 febbraio 2026 consid. 2.1).</w:t>
      </w:r>
    </w:p>
    <w:p>
      <w:r>
        <w:rPr>
          <w:b/>
        </w:rPr>
        <w:t>E. 6</w:t>
      </w:r>
    </w:p>
    <w:p>
      <w:r>
        <w:t>Le spese giudiziarie seguono la soccombenza (art. 66 cpv. 1 prima frase LTF) e vanno pertanto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