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7B_228/2025 vom 20. Mai 2025</w:t>
      </w:r>
    </w:p>
    <w:p>
      <w:r>
        <w:t>Bundesgericht, 2025-05-20, DE</w:t>
      </w:r>
    </w:p>
    <w:p>
      <w:r>
        <w:rPr>
          <w:b/>
        </w:rPr>
        <w:t xml:space="preserve">Quelle: </w:t>
      </w:r>
      <w:r>
        <w:t>https://mcp.opencaselaw.ch/entscheid/bger_7B_228_2025</w:t>
      </w:r>
    </w:p>
    <w:p>
      <w:r>
        <w:t>FR: TF 7B_228/2025 du 20 mai 2025</w:t>
      </w:r>
    </w:p>
    <w:p>
      <w:r>
        <w:t>IT: TF 7B_228/2025 del 20 maggio 2025</w:t>
      </w:r>
    </w:p>
    <w:p>
      <w:pPr>
        <w:pStyle w:val="Heading2"/>
      </w:pPr>
      <w:r>
        <w:t>Erwägungen</w:t>
      </w:r>
    </w:p>
    <w:p>
      <w:r>
        <w:rPr>
          <w:b/>
        </w:rPr>
        <w:t>E. 1</w:t>
      </w:r>
    </w:p>
    <w:p>
      <w:r>
        <w:t>Am 11. Juni 2024 erhob der Beschwerdeführer Strafanzeige wegen Ehrverletzungsdelikten und Irreführung der Rechtspflege. Im Wesentlichen soll seine Ehefrau beim Regionalgericht Landquart im Rahmen von verlangten Eheschutzmassnahmen gegen ihn diverse Anschuldigungen erhoben haben. Am 29. Januar 2025 verfügte die Staatsanwaltschaft des Kantons Graubünden die Nichtanhandnahme eines Strafverfahrens und sah davon ab, dem Beschwerdeführer Kosten aufzuerlegen. Auf die dagegen vom Beschwerdeführer am 5. Februar 2025 beim Obergericht des Kantons Graubünden erhobene Beschwerde trat dieses mit Verfügung vom 19. Februar 2025 nicht ein. Mit Beschwerde in Strafsachen vom 11. März 2025 (Postaufgabe) gelangt der Beschwerdeführer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3</w:t>
      </w:r>
    </w:p>
    <w:p>
      <w:r>
        <w:t>Die Beschwerde geht mit keinem Wort auf die Beschwerdelegitimation des Beschwerdeführers bzw. einen diesem allenfalls zustehenden Zivilanspruch im Sinne von Art. 81 Abs. 1 lit. b Ziff. 5 BGG ein. Bereits daher mangelt es der Beschwerde an einer hinreichenden Begründung. Unbesehen davon wird in der Beschwerde nicht hinlänglich begründet, weshalb die angefochtene Verfügung in tatsächlicher oder rechtlicher Hinsicht fehlerhaft sein sollte. Sie beschränkt sich darauf darzulegen, wie sich der Sachverhalt aus Sicht des Beschwerdeführers zugetragen habe und welche rechtlichen Folgen sich daraus ergeben sollten. Damit geht sie nicht über unzulässige appellatorische Kritik hinaus. Insgesamt vermag die Beschwerde den Begründungsanforderungen offensichtlich nicht zu genügen.</w:t>
      </w:r>
    </w:p>
    <w:p>
      <w:r>
        <w:rPr>
          <w:b/>
        </w:rPr>
        <w:t>E. 4</w:t>
      </w:r>
    </w:p>
    <w:p>
      <w:r>
        <w:t>Formelle Rügen, zu deren Geltendmachung der Beschwerdeführer unbesehen von der fehlenden Legitimation in der Sache befugt wäre (sog. "Star-Praxis"; vgl. BGE 141 IV 1 E. 1.1), erhebt er nicht.</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