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7B_227/2025 vom 24. Juni 2025</w:t>
      </w:r>
    </w:p>
    <w:p>
      <w:r>
        <w:t>Bundesgericht, 2025-06-24, DE</w:t>
      </w:r>
    </w:p>
    <w:p>
      <w:r>
        <w:rPr>
          <w:b/>
        </w:rPr>
        <w:t xml:space="preserve">Quelle: </w:t>
      </w:r>
      <w:r>
        <w:t>https://mcp.opencaselaw.ch/entscheid/bger_7B_227_2025</w:t>
      </w:r>
    </w:p>
    <w:p>
      <w:r>
        <w:t>FR: TF 7B_227/2025 du 24 juin 2025</w:t>
      </w:r>
    </w:p>
    <w:p>
      <w:r>
        <w:t>IT: TF 7B_227/2025 del 24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17. Februar 2025 wies das Obergericht des Kantons Bern im Beschwerdeverfahren der Beschwerdeführer gegen die Nichtanhandnahmeverfügung der Regionalen Staatsanwaltschaft Berner Jura-Seeland vom 15. Januar 2025 das Gesuch um unentgeltliche Rechtspflege ab. Die Beschwerdeführer gelangten dagegen mit Beschwerde vom 11. März 2025 (Postaufgabe) an das Bundesgericht.</w:t>
      </w:r>
    </w:p>
    <w:p>
      <w:r>
        <w:rPr>
          <w:b/>
        </w:rPr>
        <w:t>E. 2</w:t>
      </w:r>
    </w:p>
    <w:p>
      <w:r>
        <w:t>Diese Eingabe erfüllt die Begründungsanforderungen, die an eine Beschwerde an das Bundesgericht gestellt werden ( Art. 42 Abs. 2 und Art. 106 Abs. 2 BGG ; BGE 148 IV 356 E. 2.1, 39 E. 2.3.5; 142 III 364 E. 2.4) offensichtlich nicht. Auf die Beschwerde ist somit mangels hinreichender Begründung im vereinfachten Verfahren nicht einzutreten ( Art. 108 Abs. 1 lit. b BGG ). Die Begründung des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Die Gerichtskosten sind den Beschwerdeführern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