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7B_227/2024 vom 11. April 2024</w:t>
      </w:r>
    </w:p>
    <w:p>
      <w:r>
        <w:t>Bundesgericht, 2024-04-11, DE</w:t>
      </w:r>
    </w:p>
    <w:p>
      <w:r>
        <w:rPr>
          <w:b/>
        </w:rPr>
        <w:t xml:space="preserve">Quelle: </w:t>
      </w:r>
      <w:r>
        <w:t>https://mcp.opencaselaw.ch/entscheid/bger_7B_227_2024</w:t>
      </w:r>
    </w:p>
    <w:p>
      <w:r>
        <w:t>FR: TF 7B_227/2024 du 11 avril 2024</w:t>
      </w:r>
    </w:p>
    <w:p>
      <w:r>
        <w:t>IT: TF 7B_227/2024 del 11 aprile 2024</w:t>
      </w:r>
    </w:p>
    <w:p>
      <w:pPr>
        <w:pStyle w:val="Heading2"/>
      </w:pPr>
      <w:r>
        <w:t>Erwägungen</w:t>
      </w:r>
    </w:p>
    <w:p>
      <w:r>
        <w:rPr>
          <w:b/>
        </w:rPr>
        <w:t>E. 1</w:t>
      </w:r>
    </w:p>
    <w:p>
      <w:r>
        <w:t>Am 25. Oktober 2023 erstattete der Beschwerdeführer bei der Staatsanwaltschaft Basel-Landschaft Strafanzeige gegen seine ehemalige amtliche Verteidigerin, Advokatin B.________ (Beschuldigte), wegen Amtsmissbrauchs, "Amtsverweigerung", Urkundenfälschung im Amt, Urkundenfälschung und Verletzung des Berufsgeheimnisses. Gleichzeitig forderte er die Bezahlung einer Genugtuung in der Höhe von Fr. 10'000.--. Mit Verfügung vom 9. November 2023 nahm die Staatsanwaltschaft das Strafverfahren nicht an die Hand und verlegte die Kosten zu Lasten der Staatskasse. Dagegen erhob der Beschwerdeführer am 18. November 2023 Beschwerde beim Kantonsgericht Basel-Landschaft, welches diese mit Beschluss vom 3. Januar 2024 abwies. Der Beschwerdeführer wendet sich mit Beschwerde in Strafsachen vom 21. Februar 2024 (eingegangen am 26. Februar 2024) gegen diesen Beschluss ans Bundesgericht und beantragt, dieser sei aufzuheben und die Beschuldigte sei "wegen strafrechtlichen Tatbeständen gemäss Gesetz entsprechend zu bestrafen", die Kosten seien der Beschuldigten aufzuerlegen und ihm sei eine Genugtuung von Fr. 10'000.-- zuzusprechen.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führt in seiner Beschwerde im Stil eines Plädoyers aus (in seinen eigenen Worten: "so kurz wie möglich eine grundsätzliche Replik"), weshalb sich die Beschuldigte - seine frühere amtliche Verteidigerin - aus seiner Sicht durch ihr Verhalten an der staatsanwaltschaftlichen Einvernahme vom 12. April 2022 wegen "Urkundenfälschung, Amtsmissbrauch und Dienstverweigerung zu Gunsten der Staatsanwaltschaft" strafbar gemacht habe. Mit dem angefochtenen Beschluss, in welchem die Vorinstanz sorgfältig darlegt, dass die Staatsanwaltschaft zu Recht die Nichtanhandnahme eines Strafverfahrens verfügt hat, dabei ausführlich auf die einzelnen vom Beschwerdeführer thematisierten Tatbestände eingeht und zum Schluss gelangt, diese seien "allesamt in casu eindeutig nicht erfüllt", setzt sich der Beschwerdeführer nicht materiell auseinander. Seine Eingabe erschöpft sich vielmehr in appellatorischer Kritik. Es lässt sich ihr nicht ansatzweise entnehmen, dass und inwiefern die Vorinstanz mit dem angefochtenen Beschluss gegen das geltende Recht im Sinne von Art. 95 BGG verstossen haben könnte. Ferner mangelt es der Beschwerde an einer hinreichenden Begründung, weshalb dem Beschwerdeführer Zivilforderungen zustehen sollen und er als Privatkläger im Sinne von Art. 81 Abs. 1 lit. b Ziff. 5 BGG zur Beschwerde berechtigt sein soll. Die Beschwerde vermag den Begründungsanforderungen insgesamt offensichtlich nicht zu genügen.</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