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7B_224/2025 vom 31. März 2025</w:t>
      </w:r>
    </w:p>
    <w:p>
      <w:r>
        <w:t>Bundesgericht, 2025-03-31, DE</w:t>
      </w:r>
    </w:p>
    <w:p>
      <w:r>
        <w:rPr>
          <w:b/>
        </w:rPr>
        <w:t xml:space="preserve">Quelle: </w:t>
      </w:r>
      <w:r>
        <w:t>https://mcp.opencaselaw.ch/entscheid/bger_7B_224_2025</w:t>
      </w:r>
    </w:p>
    <w:p>
      <w:r>
        <w:t>FR: TF 7B_224/2025 du 31 mars 2025</w:t>
      </w:r>
    </w:p>
    <w:p>
      <w:r>
        <w:t>IT: TF 7B_224/2025 del 31 marzo 2025</w:t>
      </w:r>
    </w:p>
    <w:p>
      <w:pPr>
        <w:pStyle w:val="Heading2"/>
      </w:pPr>
      <w:r>
        <w:t>Erwägungen</w:t>
      </w:r>
    </w:p>
    <w:p>
      <w:r>
        <w:rPr>
          <w:b/>
        </w:rPr>
        <w:t>E. 1</w:t>
      </w:r>
    </w:p>
    <w:p>
      <w:r>
        <w:t>Am 30. September 2024 beantragte der Beschwerdeführer bei der Staatsanwaltschaft Winterthur/Unterland (nachfolgend: Staatsanwaltschaft) die Untersuchung "möglicher strafrechtlicher Handlungen" seitens der Krankenversicherung B.________ AG im Zusammenhang mit der Einstellung der Auszahlung von Krankentaggeldern. Die Staatsanwaltschaft verfügte am 4. November 2024 die Nichtanhandnahme. Eine dagegen vom Beschwerdeführer beim Obergericht des Kantons Zürich (nachfolgend: Obergericht) erhobene Beschwerde wurde von diesem mit Verfügung und Beschluss vom 11. Februar 2025 abgewiesen. Der Beschwerdeführer wendet sich mit Beschwerde in Strafsachen vom 10. März 2025 (Postaufgabe) ans Bundesgericht und beantragt "eine erneute Überprüfung des Falles sowie die Berücksichtigung aller relevanten Beweise, die nicht ausreichend geprüft wurden."</w:t>
      </w:r>
    </w:p>
    <w:p>
      <w:r>
        <w:rPr>
          <w:b/>
        </w:rPr>
        <w:t>E. 2</w:t>
      </w:r>
    </w:p>
    <w:p>
      <w:r>
        <w:t>Die Eingaben vom 22. März 2025 und vom 27. März 2025, je Datum der Postaufgabe und samt Beilagen, sind verspätet (vgl. Art. 100 Abs. 1 BGG ) und damit unbeachtlich.</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w:t>
      </w:r>
    </w:p>
    <w:p>
      <w:r>
        <w:rPr>
          <w:b/>
        </w:rPr>
        <w:t>E. 4</w:t>
      </w:r>
    </w:p>
    <w:p>
      <w:r>
        <w:t>Das Rechtsbegehren ist nach Treu und Glauben, insbesondere im Lichte der dazu gegebenen Begründung, dahingehend auszulegen, dass der Beschwerdeführer sinngemäss beantragt, es sei der angefochtene Beschluss aufzuheben und es sei die Staatsanwaltschaft anzuweisen, ein Strafverfahren zu eröffnen. Der Beschwerdeführer legt nicht ansatzweise dar, weshalb der angefochtene Beschluss in tatsächlicher oder rechtlicher Hinsicht fehlerhaft sein sollte. Die aufgrund ihrer Weitschweifigkeit kaum nachvollziehbaren Ausführungen in der Beschwerdeschrift setzen sich nicht mit den vorinstanzlichen Erwägungen auseinander, sondern nehmen diese lediglich zum Anlass, um die eigene Sicht der Dinge vorzutragen. Insofern geht die Beschwerde nicht über appellatorische Kritik hinaus. Dass die Vorinstanz gegen das geltende Recht im Sinne von Art. 95 BGG verstossen haben könnte, legt der Beschwerdeführer nicht dar. Auch auf die Beschwerdelegitimation bzw. einen dem Beschwerdeführer allenfalls zustehenden Zivilanspruch im Sinne von Art. 81 Abs. 1 lit. b Ziff. 5 BGG, die ihn überhaupt erst zur Beschwerde legitimieren würde, wird in der Beschwerde mit keinem Wort eingegangen. Insgesamt genügt die Beschwerde den Begründungsanforderungen offensichtlich nicht.</w:t>
      </w:r>
    </w:p>
    <w:p>
      <w:r>
        <w:rPr>
          <w:b/>
        </w:rPr>
        <w:t>E. 5</w:t>
      </w:r>
    </w:p>
    <w:p>
      <w:r>
        <w:t>Der Beschwerdeführer rügt ferner keine Verletzung von Verfahrensrechten, deren Missachtung einer formellen Rechtsverweigerung gleichkommen würde und von der Prüfung der Sache getrennt werden könnte ("Star-Praxis"; BGE 146 IV 76 E. 2; 141 IV 1 E. 1.1).</w:t>
      </w:r>
    </w:p>
    <w:p>
      <w:r>
        <w:rPr>
          <w:b/>
        </w:rPr>
        <w:t>E. 6</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