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223/2024 vom 2. April 2024</w:t>
      </w:r>
    </w:p>
    <w:p>
      <w:r>
        <w:t>Bundesgericht, 2024-04-02, DE</w:t>
      </w:r>
    </w:p>
    <w:p>
      <w:r>
        <w:rPr>
          <w:b/>
        </w:rPr>
        <w:t xml:space="preserve">Quelle: </w:t>
      </w:r>
      <w:r>
        <w:t>https://mcp.opencaselaw.ch/entscheid/bger_7B_223_2024</w:t>
      </w:r>
    </w:p>
    <w:p>
      <w:r>
        <w:t>FR: TF 7B 223/2024 du 2 avril 2024</w:t>
      </w:r>
    </w:p>
    <w:p>
      <w:r>
        <w:t>IT: TF 7B 223/2024 del 2 aprile 2024</w:t>
      </w:r>
    </w:p>
    <w:p>
      <w:pPr>
        <w:pStyle w:val="Heading2"/>
      </w:pPr>
      <w:r>
        <w:t>Regeste</w:t>
      </w:r>
    </w:p>
    <w:p>
      <w:r>
        <w:t>Verlängerung von Ersatzmassnahmen | Strafprozess</w:t>
      </w:r>
    </w:p>
    <w:p>
      <w:pPr>
        <w:pStyle w:val="Heading2"/>
      </w:pPr>
      <w:r>
        <w:t>Erwägungen</w:t>
      </w:r>
    </w:p>
    <w:p>
      <w:r>
        <w:rPr>
          <w:b/>
        </w:rPr>
        <w:t>E. 1</w:t>
      </w:r>
    </w:p>
    <w:p>
      <w:r>
        <w:t>Gegenstand des kantonal letztinstanzlichen angefochtenen Entscheides ist die Anordnung von Ersatzmassnahmen anstelle von Untersuchungshaft. Dagegen ist die Beschwerde in Strafsachen an das Bundesgericht gemäss Art. 78 ff. BGG grundsätzlich zulässig. Deren Erhebung setzt jedoch u.a. ein aktuelles Rechtsschutzinteresse voraus ( Art. 81 lit. b BGG ). Dieses ist durch die Aufhebung der gegen den Beschwerdeführer angeordneten Ersatzmassnahmen weggefallen. Die Beschwerde ist damit mit einzelrichterlichem Entscheid ( Art. 32 Abs. 2 BGG ) als gegenstandslos geworden abzuschreiben.</w:t>
      </w:r>
    </w:p>
    <w:p>
      <w:r>
        <w:rPr>
          <w:b/>
        </w:rPr>
        <w:t>E. 2</w:t>
      </w:r>
    </w:p>
    <w:p>
      <w:r>
        <w:t>Bei Gegenstandslosigkeit des Verfahrens entscheidet das Bundesgericht mit summarischer Begründung über die Prozesskosten aufgrund der Sachlage vor Eintritt des Erledigungsgrundes ( Art. 71 BGG i.V.m Art. 72 BZP ). Bei der Beurteilung der Kosten- und Entschädigungsfolgen ist somit in erster Linie auf den mutmasslichen Ausgang des Prozesses abzustellen. Dabei geht es nicht darum, die Prozessaussichten im Einzelfall zu prüfen und dadurch weitere Umtriebe zu verursachen. Auf dem Weg über den Kostenentscheid soll nicht ein materielles Urteil gefällt und unter Umständen der Entscheid in einer heiklen Rechtsfrage präjudiziert werden (vgl. zum Ganzen: BGE 142 V 551 E. 8.2; Urteil 1B_290/2022 vom 23. November 2022 E. 3 mit Hinweis). Lässt sich der mutmassliche Ausgang eines Verfahrens nicht ohne Weiteres feststellen, ist nach der Rechtsprechung des Bundesgerichts auf allgemeine zivilprozessrechtliche Kriterien zurückzugreifen. Danach wird in erster Linie jene Partei kosten- und entschädigungspflichtig, die das gegenstandslos gewordene Verfahren veranlasst hat oder bei der die Gründe eingetreten sind, die zur Gegenstandslosigkeit des Verfahrens geführt haben (zum Ganzen: Urteil 7B_146/2022 vom 25. August 2023 E. 2.2).</w:t>
      </w:r>
    </w:p>
    <w:p>
      <w:r>
        <w:rPr>
          <w:b/>
        </w:rPr>
        <w:t>E. 3</w:t>
      </w:r>
    </w:p>
    <w:p>
      <w:r>
        <w:t>Der mutmassliche Ausgang des vorliegenden Verfahrens ist nicht ohne Weiteres feststellbar. Vielmehr bedürfte die Beschwerde in Strafsachen einer eingehenden Prüfung. Für die Bestimmung der Kostenfolge ist demnach auf das Verursacherprinzip abzustellen. Vorliegend hat die Staatsanwaltschaft das Verfahren betreffend die Anordnung von Ersatzmassnahmen gegen den Beschwerdeführer angestrebt und diese dann mit Verfügung vom 28. Februar 2024 vorzeitig wieder aufgehoben. Die Gründe, die zur Gegenstandslosigkeit des bundesgerichtlichen Verfahrens geführt haben, sind somit durch die Staatsanwaltschaft zu verantworten. Unter diesen Umständen sind für das bundesgerichtliche Verfahren keine Kosten zu erheben ( Art. 66 Abs. 4 BGG ). Hingegen hat der Kanton Zürich dem Beschwerdeführer eine angemessene Parteientschädigung auszurichten (vgl.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