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7B_221/2026 vom 1. April 2026</w:t>
      </w:r>
    </w:p>
    <w:p>
      <w:r>
        <w:t>Bundesgericht, 2026-04-01, DE</w:t>
      </w:r>
    </w:p>
    <w:p>
      <w:r>
        <w:rPr>
          <w:b/>
        </w:rPr>
        <w:t xml:space="preserve">Quelle: </w:t>
      </w:r>
      <w:r>
        <w:t>https://mcp.opencaselaw.ch/entscheid/bger_7B_221_2026</w:t>
      </w:r>
    </w:p>
    <w:p>
      <w:r>
        <w:t>FR: TF 7B_221/2026 du 1 avril 2026</w:t>
      </w:r>
    </w:p>
    <w:p>
      <w:r>
        <w:t>IT: TF 7B_221/2026 del 1 aprile 2026</w:t>
      </w:r>
    </w:p>
    <w:p>
      <w:pPr>
        <w:pStyle w:val="Heading2"/>
      </w:pPr>
      <w:r>
        <w:t>Erwägungen</w:t>
      </w:r>
    </w:p>
    <w:p>
      <w:r>
        <w:rPr>
          <w:b/>
        </w:rPr>
        <w:t>E. 1</w:t>
      </w:r>
    </w:p>
    <w:p>
      <w:r>
        <w:t>Mit Verfügung vom 21. Januar 2026 trat das Kantonsgericht des Kantons Luzern nicht auf die Beschwerde des Beschwerdeführers gegen die Einstellungsverfügung der Staatsanwaltschaft Abteilung 2 Emmen vom 21. Oktober 2024 ein. Der Beschwerdeführer gelangte dagegen mit Beschwerde in Strafsachen vom 19. Februar 2026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und einer Auseinandersetzung mit der Eventualbegründung der Vorinstanz (angefochtene Verfügung E. 2.5; vgl. BGE 149 III 318 E. 3.1.3; 142 III 364 E. 2.4; 133 IV 119 E. 6.3; je mit Hinweisen). Formelle Rügen, zu deren Geltendmachung der Beschwerdeführer unbesehen der fehlenden Legitimation in der Sache berechtigt wäre, da sie namentlich von der Prüfung der Sache getrennt werden können und die im Ergebnis nicht auf eine materielle Überprüfung des angefochtenen Entscheids abzielen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